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07C" w:rsidRDefault="00A65433">
      <w:pPr>
        <w:jc w:val="center"/>
      </w:pPr>
      <w:r>
        <w:t>Chapter Three</w:t>
      </w:r>
    </w:p>
    <w:p w:rsidR="00E1307C" w:rsidRDefault="00E1307C">
      <w:pPr>
        <w:jc w:val="center"/>
        <w:rPr>
          <w:color w:val="000000"/>
        </w:rPr>
      </w:pPr>
    </w:p>
    <w:p w:rsidR="00E1307C" w:rsidRDefault="00A65433">
      <w:pPr>
        <w:pStyle w:val="Heading6"/>
        <w:bidi w:val="0"/>
        <w:rPr>
          <w:sz w:val="24"/>
          <w:szCs w:val="24"/>
        </w:rPr>
      </w:pPr>
      <w:r>
        <w:rPr>
          <w:sz w:val="24"/>
          <w:szCs w:val="24"/>
        </w:rPr>
        <w:t>Educational Status</w:t>
      </w:r>
    </w:p>
    <w:p w:rsidR="00E1307C" w:rsidRDefault="00E1307C">
      <w:pPr>
        <w:pStyle w:val="Heading4"/>
        <w:jc w:val="center"/>
        <w:rPr>
          <w:b w:val="0"/>
          <w:bCs w:val="0"/>
          <w:sz w:val="24"/>
          <w:szCs w:val="28"/>
          <w:lang w:bidi="ar-JO"/>
        </w:rPr>
      </w:pPr>
    </w:p>
    <w:p w:rsidR="00E1307C" w:rsidRDefault="009202EE">
      <w:r w:rsidRPr="009202EE">
        <w:rPr>
          <w:noProof/>
          <w:sz w:val="20"/>
          <w:lang w:val="ar-SA" w:eastAsia="ar-SA"/>
        </w:rPr>
        <w:pict>
          <v:rect id="_x0000_s1077" style="position:absolute;margin-left:0;margin-top:19.85pt;width:450pt;height:108pt;z-index:251657728">
            <v:textbox style="mso-next-textbox:#_x0000_s1077">
              <w:txbxContent>
                <w:p w:rsidR="00E1307C" w:rsidRDefault="00A65433">
                  <w:pPr>
                    <w:jc w:val="lowKashida"/>
                    <w:rPr>
                      <w:i/>
                      <w:iCs/>
                      <w:lang w:bidi="ar-JO"/>
                    </w:rPr>
                  </w:pPr>
                  <w:r>
                    <w:rPr>
                      <w:i/>
                      <w:iCs/>
                    </w:rPr>
                    <w:t>States Parties recognize the right of the child to education, and with a view to achieving this right progressively and on the basis of equal opportunity, they shall, in particular</w:t>
                  </w:r>
                  <w:r>
                    <w:rPr>
                      <w:i/>
                      <w:iCs/>
                      <w:lang w:bidi="ar-JO"/>
                    </w:rPr>
                    <w:t>:</w:t>
                  </w:r>
                </w:p>
                <w:p w:rsidR="00E1307C" w:rsidRDefault="00E1307C">
                  <w:pPr>
                    <w:jc w:val="lowKashida"/>
                    <w:rPr>
                      <w:i/>
                      <w:iCs/>
                      <w:sz w:val="8"/>
                      <w:szCs w:val="8"/>
                      <w:lang w:bidi="ar-JO"/>
                    </w:rPr>
                  </w:pPr>
                </w:p>
                <w:p w:rsidR="00E1307C" w:rsidRDefault="00A65433">
                  <w:pPr>
                    <w:jc w:val="lowKashida"/>
                    <w:rPr>
                      <w:i/>
                      <w:iCs/>
                      <w:lang w:bidi="ar-JO"/>
                    </w:rPr>
                  </w:pPr>
                  <w:r>
                    <w:rPr>
                      <w:i/>
                      <w:iCs/>
                      <w:lang w:bidi="ar-JO"/>
                    </w:rPr>
                    <w:t xml:space="preserve">A- Make elementary education compulsory and available free to all; </w:t>
                  </w:r>
                </w:p>
                <w:p w:rsidR="00E1307C" w:rsidRDefault="00A65433">
                  <w:pPr>
                    <w:jc w:val="lowKashida"/>
                    <w:rPr>
                      <w:i/>
                      <w:iCs/>
                      <w:lang w:bidi="ar-JO"/>
                    </w:rPr>
                  </w:pPr>
                  <w:r>
                    <w:rPr>
                      <w:i/>
                      <w:iCs/>
                      <w:lang w:bidi="ar-JO"/>
                    </w:rPr>
                    <w:t xml:space="preserve">B-Encourage the development of different forms of secondary education, make them available and accessible to every child, and take appropriate measures such as the introduction of free education and offering financial assistance in case of need.    </w:t>
                  </w:r>
                </w:p>
                <w:p w:rsidR="00E1307C" w:rsidRDefault="00A65433">
                  <w:pPr>
                    <w:jc w:val="right"/>
                    <w:rPr>
                      <w:i/>
                      <w:iCs/>
                      <w:sz w:val="20"/>
                      <w:szCs w:val="20"/>
                    </w:rPr>
                  </w:pPr>
                  <w:r>
                    <w:rPr>
                      <w:i/>
                      <w:iCs/>
                    </w:rPr>
                    <w:t xml:space="preserve">                                                       </w:t>
                  </w:r>
                  <w:r>
                    <w:rPr>
                      <w:i/>
                      <w:iCs/>
                      <w:sz w:val="20"/>
                      <w:szCs w:val="20"/>
                    </w:rPr>
                    <w:t>(Convention on the Rights of the Child</w:t>
                  </w:r>
                  <w:r>
                    <w:rPr>
                      <w:i/>
                      <w:iCs/>
                      <w:sz w:val="20"/>
                      <w:szCs w:val="20"/>
                      <w:lang w:bidi="ar-JO"/>
                    </w:rPr>
                    <w:t>, Article 28-1)</w:t>
                  </w:r>
                </w:p>
              </w:txbxContent>
            </v:textbox>
            <w10:wrap type="topAndBottom"/>
          </v:rect>
        </w:pict>
      </w:r>
    </w:p>
    <w:p w:rsidR="00E1307C" w:rsidRDefault="00E1307C"/>
    <w:p w:rsidR="00E1307C" w:rsidRDefault="00E1307C">
      <w:pPr>
        <w:ind w:left="26" w:right="26"/>
        <w:jc w:val="both"/>
      </w:pPr>
    </w:p>
    <w:p w:rsidR="00E1307C" w:rsidRDefault="00A65433">
      <w:pPr>
        <w:ind w:left="26" w:right="26"/>
        <w:jc w:val="both"/>
      </w:pPr>
      <w:r>
        <w:t>The educational sector is one of the most important sectors in the society, which is given  special attention by governments since it represents real investment in the future of nations. Educational indicators are used to measure the government and society’s performance in providing a suitable environment for children and youths’ right to education.</w:t>
      </w:r>
    </w:p>
    <w:p w:rsidR="00E1307C" w:rsidRDefault="00E1307C">
      <w:pPr>
        <w:ind w:left="26" w:right="26"/>
        <w:jc w:val="both"/>
      </w:pPr>
    </w:p>
    <w:p w:rsidR="00E1307C" w:rsidRDefault="00A65433">
      <w:pPr>
        <w:pStyle w:val="BodyText3"/>
      </w:pPr>
      <w:r>
        <w:t xml:space="preserve">Such concern has had an unequivocal impact in bridging the educational gap between male and female students in basic and secondary education stages since both have recorded approximate comprehensive enrollment of basic school (from first grade to tenth grade). Compulsory education has been expanded from nine years to ten years and the new Palestinian curriculum reform plans were gradually introduced for implementation during the scholastic years 2000-2006. There has also been widening of educational facilities, which have reached areas where they were never before available. Despite the achievements in children’s education, we cannot underestimate the future challenges of the educational process. </w:t>
      </w:r>
    </w:p>
    <w:p w:rsidR="00E1307C" w:rsidRDefault="00E1307C">
      <w:pPr>
        <w:rPr>
          <w:lang w:bidi="ar-JO"/>
        </w:rPr>
      </w:pPr>
    </w:p>
    <w:p w:rsidR="00E1307C" w:rsidRDefault="00A65433">
      <w:pPr>
        <w:pStyle w:val="BodyText3"/>
      </w:pPr>
      <w:r>
        <w:t>Educating children occupied a high priority in many national, regional, and international conferences such as Jumetian Conference on Societal Education in 1990, Dakar Conference on Evaluating Education for All in 2000, and the Convention on the Rights of the Child in 1989, which is the most comprehensive convention in the world on human rights. Moreover, human rights conventions have all emphasized providing quality education to children and gave such matters high priority.</w:t>
      </w:r>
    </w:p>
    <w:p w:rsidR="00E1307C" w:rsidRDefault="00E1307C">
      <w:pPr>
        <w:rPr>
          <w:lang w:bidi="ar-JO"/>
        </w:rPr>
      </w:pPr>
    </w:p>
    <w:p w:rsidR="00E1307C" w:rsidRDefault="00A65433">
      <w:pPr>
        <w:jc w:val="both"/>
        <w:rPr>
          <w:lang w:bidi="ar-JO"/>
        </w:rPr>
      </w:pPr>
      <w:r>
        <w:rPr>
          <w:lang w:bidi="ar-JO"/>
        </w:rPr>
        <w:t xml:space="preserve">Articles 28 and 29 of the Convention on the Rights of the Child stipulate that “State Parties shall make primary education compulsory and available free to all’ and that “education of the child shall be directed to the development of the child’s personality, talents, and mental and physical abilities to their fullest potential.” Therefore, school attainment and receiving good quality education are main factors to achieving such goal. Moreover, four more Articles in the Convention on the Rights of the Child reinforce the comprehensive legal principles of the child’s education including: Article 2, which stipulates that “State Parties shall respect and ensure the rights set forth in the present Convention to each child within their jurisdiction without discrimination of any kind;” Article 3, which states, “The best interest of the child shall be a primary consideration;” Article 6 states, “That every child has the inherent right to </w:t>
      </w:r>
      <w:r>
        <w:rPr>
          <w:lang w:bidi="ar-JO"/>
        </w:rPr>
        <w:lastRenderedPageBreak/>
        <w:t>life…survival and development;” and Article 12, which stipulates, “The child who is capable of forming his or her own views (has) the right to express those views freely.”</w:t>
      </w:r>
      <w:r>
        <w:rPr>
          <w:rStyle w:val="FootnoteReference"/>
          <w:lang w:bidi="ar-JO"/>
        </w:rPr>
        <w:footnoteReference w:id="1"/>
      </w:r>
    </w:p>
    <w:p w:rsidR="00E1307C" w:rsidRDefault="00E1307C">
      <w:pPr>
        <w:rPr>
          <w:lang w:bidi="ar-JO"/>
        </w:rPr>
      </w:pPr>
    </w:p>
    <w:p w:rsidR="00E1307C" w:rsidRDefault="00E1307C">
      <w:pPr>
        <w:rPr>
          <w:lang w:bidi="ar-JO"/>
        </w:rPr>
      </w:pPr>
    </w:p>
    <w:p w:rsidR="00E1307C" w:rsidRDefault="00A65433">
      <w:pPr>
        <w:pStyle w:val="Heading1"/>
        <w:rPr>
          <w:lang w:bidi="ar-JO"/>
        </w:rPr>
      </w:pPr>
      <w:r>
        <w:rPr>
          <w:lang w:bidi="ar-JO"/>
        </w:rPr>
        <w:t>3.1 Students</w:t>
      </w:r>
    </w:p>
    <w:p w:rsidR="00E1307C" w:rsidRDefault="00A65433" w:rsidP="00A230B2">
      <w:pPr>
        <w:pStyle w:val="BodyText3"/>
      </w:pPr>
      <w:r>
        <w:t xml:space="preserve">At the outset of the scholastic year </w:t>
      </w:r>
      <w:r w:rsidR="00A230B2">
        <w:t>2010</w:t>
      </w:r>
      <w:r>
        <w:t>/</w:t>
      </w:r>
      <w:r w:rsidR="00A230B2">
        <w:t>2011</w:t>
      </w:r>
      <w:r>
        <w:t>, the number of students enrolled in the basic and secondary stage was 1,</w:t>
      </w:r>
      <w:r w:rsidR="00A230B2">
        <w:t>116</w:t>
      </w:r>
      <w:r>
        <w:t>,</w:t>
      </w:r>
      <w:r w:rsidR="00A230B2">
        <w:t>991</w:t>
      </w:r>
      <w:r>
        <w:t xml:space="preserve"> students. Female students constitute around 50.</w:t>
      </w:r>
      <w:r w:rsidR="00A230B2">
        <w:t>4</w:t>
      </w:r>
      <w:r>
        <w:t>%.  Female percentage varies from one stage to another: in the basic education stage, females constitute 49.</w:t>
      </w:r>
      <w:r w:rsidR="00A230B2">
        <w:t>7</w:t>
      </w:r>
      <w:r>
        <w:t>%, compared to 54.</w:t>
      </w:r>
      <w:r w:rsidR="00A230B2">
        <w:t>8</w:t>
      </w:r>
      <w:r>
        <w:t>% in the secondary education stage.</w:t>
      </w:r>
    </w:p>
    <w:p w:rsidR="00E1307C" w:rsidRDefault="00E1307C">
      <w:pPr>
        <w:pStyle w:val="BodyText3"/>
      </w:pPr>
    </w:p>
    <w:p w:rsidR="00E1307C" w:rsidRDefault="00A65433" w:rsidP="002F0A85">
      <w:pPr>
        <w:pStyle w:val="BodyText3"/>
      </w:pPr>
      <w:r>
        <w:t xml:space="preserve">In the scholastic year </w:t>
      </w:r>
      <w:r w:rsidR="002F0A85">
        <w:t>2010</w:t>
      </w:r>
      <w:r>
        <w:t>/</w:t>
      </w:r>
      <w:r w:rsidR="002F0A85">
        <w:t>2011</w:t>
      </w:r>
      <w:r>
        <w:t>, 13.</w:t>
      </w:r>
      <w:r w:rsidR="002F0A85">
        <w:t>4</w:t>
      </w:r>
      <w:r>
        <w:t>% of all students were enrolled in the secondary education stage, and 86.</w:t>
      </w:r>
      <w:r w:rsidR="002F0A85">
        <w:t>6</w:t>
      </w:r>
      <w:r>
        <w:t>% were enrolled in the basic stage; 59.</w:t>
      </w:r>
      <w:r w:rsidR="002F0A85">
        <w:t>6</w:t>
      </w:r>
      <w:r>
        <w:t>% of all students were enrolled in the basic education stage in the West Bank and 40.</w:t>
      </w:r>
      <w:r w:rsidR="002F0A85">
        <w:t>4</w:t>
      </w:r>
      <w:r>
        <w:t xml:space="preserve">% in Gaza Strip. As for students enrolled in the secondary education stage, this percentage was </w:t>
      </w:r>
      <w:r w:rsidR="002F0A85">
        <w:t>60</w:t>
      </w:r>
      <w:r>
        <w:t>.</w:t>
      </w:r>
      <w:r w:rsidR="002F0A85">
        <w:t>2</w:t>
      </w:r>
      <w:r>
        <w:t xml:space="preserve">% in the West Bank and </w:t>
      </w:r>
      <w:r w:rsidR="002F0A85">
        <w:t>39</w:t>
      </w:r>
      <w:r>
        <w:t>.</w:t>
      </w:r>
      <w:r w:rsidR="002F0A85">
        <w:t>8</w:t>
      </w:r>
      <w:r>
        <w:t>% in Gaza Strip.</w:t>
      </w:r>
    </w:p>
    <w:p w:rsidR="00E1307C" w:rsidRDefault="00E1307C">
      <w:pPr>
        <w:rPr>
          <w:lang w:bidi="ar-JO"/>
        </w:rPr>
      </w:pPr>
    </w:p>
    <w:p w:rsidR="00E1307C" w:rsidRDefault="00A65433" w:rsidP="00A22CB3">
      <w:pPr>
        <w:jc w:val="both"/>
        <w:rPr>
          <w:lang w:bidi="ar-JO"/>
        </w:rPr>
      </w:pPr>
      <w:r>
        <w:rPr>
          <w:lang w:bidi="ar-JO"/>
        </w:rPr>
        <w:t>68.</w:t>
      </w:r>
      <w:r w:rsidR="002F0A85">
        <w:rPr>
          <w:lang w:bidi="ar-JO"/>
        </w:rPr>
        <w:t>6</w:t>
      </w:r>
      <w:r>
        <w:rPr>
          <w:lang w:bidi="ar-JO"/>
        </w:rPr>
        <w:t xml:space="preserve">% of total students were enrolled in governmental schools; 23.4% were enrolled in UNRWA schools, and </w:t>
      </w:r>
      <w:r w:rsidR="00A22CB3">
        <w:rPr>
          <w:lang w:bidi="ar-JO"/>
        </w:rPr>
        <w:t>8.0</w:t>
      </w:r>
      <w:r>
        <w:rPr>
          <w:lang w:bidi="ar-JO"/>
        </w:rPr>
        <w:t>% in private schools. The relatively large number of refugee students in Gaza Strip made the educational role of UNRWA in Gaza Strip larger than its role in the West Bank.</w:t>
      </w:r>
      <w:r>
        <w:rPr>
          <w:rStyle w:val="FootnoteReference"/>
          <w:lang w:bidi="ar-JO"/>
        </w:rPr>
        <w:footnoteReference w:id="2"/>
      </w:r>
      <w:r>
        <w:rPr>
          <w:lang w:bidi="ar-JO"/>
        </w:rPr>
        <w:t xml:space="preserve"> </w:t>
      </w:r>
    </w:p>
    <w:p w:rsidR="00E1307C" w:rsidRDefault="00E1307C">
      <w:pPr>
        <w:rPr>
          <w:lang w:bidi="ar-JO"/>
        </w:rPr>
      </w:pPr>
    </w:p>
    <w:p w:rsidR="00E1307C" w:rsidRDefault="00A65433" w:rsidP="008E39D4">
      <w:pPr>
        <w:pStyle w:val="BodyText3"/>
      </w:pPr>
      <w:r>
        <w:t xml:space="preserve">There had been a steady increase in the numbers of school students between 1994/1995 and </w:t>
      </w:r>
      <w:r w:rsidR="00A22CB3">
        <w:t>2010</w:t>
      </w:r>
      <w:r>
        <w:t>/</w:t>
      </w:r>
      <w:r w:rsidR="00A22CB3">
        <w:t>2011</w:t>
      </w:r>
      <w:r>
        <w:t>, whereas the percentage of increases in the basic and secondary education stage was 80.</w:t>
      </w:r>
      <w:r w:rsidR="008E39D4">
        <w:t>8</w:t>
      </w:r>
      <w:r>
        <w:t>%; 9</w:t>
      </w:r>
      <w:r w:rsidR="008E39D4">
        <w:t>1</w:t>
      </w:r>
      <w:r>
        <w:t>.</w:t>
      </w:r>
      <w:r w:rsidR="008E39D4">
        <w:t>7</w:t>
      </w:r>
      <w:r>
        <w:t>% in Gaza Strip and 7</w:t>
      </w:r>
      <w:r w:rsidR="008E39D4">
        <w:t>4</w:t>
      </w:r>
      <w:r>
        <w:t>.</w:t>
      </w:r>
      <w:r w:rsidR="008E39D4">
        <w:t>1</w:t>
      </w:r>
      <w:r>
        <w:t xml:space="preserve">% in the West Bank. </w:t>
      </w:r>
    </w:p>
    <w:p w:rsidR="00E1307C" w:rsidRDefault="00E1307C">
      <w:pPr>
        <w:rPr>
          <w:lang w:bidi="ar-JO"/>
        </w:rPr>
      </w:pPr>
    </w:p>
    <w:p w:rsidR="00E1307C" w:rsidRDefault="00E1307C">
      <w:pPr>
        <w:rPr>
          <w:lang w:bidi="ar-JO"/>
        </w:rPr>
      </w:pPr>
    </w:p>
    <w:p w:rsidR="00E1307C" w:rsidRDefault="00A65433">
      <w:pPr>
        <w:pStyle w:val="Heading1"/>
        <w:rPr>
          <w:lang w:bidi="ar-JO"/>
        </w:rPr>
      </w:pPr>
      <w:r>
        <w:t>3.2 Pre-School Enrollment</w:t>
      </w:r>
      <w:r>
        <w:rPr>
          <w:noProof/>
          <w:sz w:val="20"/>
          <w:lang w:eastAsia="ar-SA"/>
        </w:rPr>
        <w:t xml:space="preserve"> </w:t>
      </w:r>
      <w:r>
        <w:rPr>
          <w:rFonts w:hint="cs"/>
          <w:noProof/>
          <w:sz w:val="20"/>
          <w:rtl/>
          <w:lang w:eastAsia="ar-SA"/>
        </w:rPr>
        <w:t>)</w:t>
      </w:r>
      <w:r>
        <w:rPr>
          <w:lang w:bidi="ar-JO"/>
        </w:rPr>
        <w:t>Enrollment in Kindergarten) in the West Bank</w:t>
      </w:r>
    </w:p>
    <w:p w:rsidR="00E1307C" w:rsidRDefault="00E1307C">
      <w:pPr>
        <w:rPr>
          <w:lang w:bidi="ar-JO"/>
        </w:rPr>
      </w:pPr>
    </w:p>
    <w:p w:rsidR="00E1307C" w:rsidRDefault="00A65433">
      <w:pPr>
        <w:jc w:val="lowKashida"/>
      </w:pPr>
      <w:r>
        <w:t>Kindergartens are run by the private sector with the exception of two kindergartens, which are operated by the Ministry of Education. However, according to effective rules and regulations, kindergartens must be licensed by the Ministry of Education.</w:t>
      </w:r>
    </w:p>
    <w:p w:rsidR="00E1307C" w:rsidRDefault="00E1307C">
      <w:pPr>
        <w:rPr>
          <w:lang w:bidi="ar-JO"/>
        </w:rPr>
      </w:pPr>
    </w:p>
    <w:p w:rsidR="00E1307C" w:rsidRDefault="00A65433" w:rsidP="008E39D4">
      <w:pPr>
        <w:pStyle w:val="BodyText3"/>
      </w:pPr>
      <w:r>
        <w:t>The increase and decrease of number of kindergarten in the Palestinian Territory is affected by the political situation.  The number of kindergarten in the West Bank was 7</w:t>
      </w:r>
      <w:r w:rsidR="008E39D4">
        <w:t>82</w:t>
      </w:r>
      <w:r>
        <w:t xml:space="preserve"> in scholastic year </w:t>
      </w:r>
      <w:r w:rsidR="008E39D4">
        <w:t>2010</w:t>
      </w:r>
      <w:r>
        <w:t>/</w:t>
      </w:r>
      <w:r w:rsidR="008E39D4">
        <w:t>2011</w:t>
      </w:r>
      <w:r>
        <w:t>; 7</w:t>
      </w:r>
      <w:r w:rsidR="008E39D4">
        <w:t>80</w:t>
      </w:r>
      <w:r>
        <w:t xml:space="preserve"> private and 2 are governmental.</w:t>
      </w:r>
    </w:p>
    <w:p w:rsidR="00E1307C" w:rsidRDefault="00E1307C">
      <w:pPr>
        <w:pStyle w:val="BodyText3"/>
      </w:pPr>
    </w:p>
    <w:p w:rsidR="00E1307C" w:rsidRDefault="00A65433" w:rsidP="008E39D4">
      <w:pPr>
        <w:pStyle w:val="BodyText3"/>
      </w:pPr>
      <w:r>
        <w:t xml:space="preserve">The number of kindergarten students in the West Bank was </w:t>
      </w:r>
      <w:r w:rsidR="008E39D4">
        <w:t>60</w:t>
      </w:r>
      <w:r>
        <w:t>,</w:t>
      </w:r>
      <w:r w:rsidR="008E39D4">
        <w:t>134</w:t>
      </w:r>
      <w:r>
        <w:t xml:space="preserve"> students in scholastic year </w:t>
      </w:r>
      <w:r w:rsidR="008E39D4">
        <w:t>2010</w:t>
      </w:r>
      <w:r>
        <w:t>/</w:t>
      </w:r>
      <w:r w:rsidR="008E39D4">
        <w:t>2011</w:t>
      </w:r>
      <w:r>
        <w:t>; 48.</w:t>
      </w:r>
      <w:r w:rsidR="008E39D4">
        <w:t>4</w:t>
      </w:r>
      <w:r>
        <w:t>% males and 51.</w:t>
      </w:r>
      <w:r w:rsidR="008E39D4">
        <w:t>6</w:t>
      </w:r>
      <w:r>
        <w:t>% females.</w:t>
      </w:r>
    </w:p>
    <w:p w:rsidR="00E1307C" w:rsidRDefault="00E1307C">
      <w:pPr>
        <w:pStyle w:val="BodyText3"/>
      </w:pPr>
    </w:p>
    <w:p w:rsidR="00E1307C" w:rsidRDefault="00A65433" w:rsidP="008E39D4">
      <w:pPr>
        <w:pStyle w:val="BodyText3"/>
      </w:pPr>
      <w:r>
        <w:t xml:space="preserve">According to the supervising authority, </w:t>
      </w:r>
      <w:r w:rsidR="008E39D4">
        <w:t>60</w:t>
      </w:r>
      <w:r>
        <w:t>,</w:t>
      </w:r>
      <w:r w:rsidR="008E39D4">
        <w:t>013</w:t>
      </w:r>
      <w:r>
        <w:t xml:space="preserve"> students supervised by private kindergartens, and </w:t>
      </w:r>
      <w:r w:rsidR="008E39D4">
        <w:t>121</w:t>
      </w:r>
      <w:r>
        <w:t xml:space="preserve"> supervised by governmental kindergartens.</w:t>
      </w:r>
    </w:p>
    <w:p w:rsidR="00E1307C" w:rsidRDefault="00A65433" w:rsidP="008E39D4">
      <w:pPr>
        <w:pStyle w:val="BodyText3"/>
      </w:pPr>
      <w:r>
        <w:t>The classroom density was 23.</w:t>
      </w:r>
      <w:r w:rsidR="008E39D4">
        <w:t>1</w:t>
      </w:r>
      <w:r>
        <w:t xml:space="preserve"> child per classroom in scholastic year </w:t>
      </w:r>
      <w:r w:rsidR="008E39D4">
        <w:t>2010</w:t>
      </w:r>
      <w:r>
        <w:t>/</w:t>
      </w:r>
      <w:r w:rsidR="008E39D4">
        <w:t>2011.</w:t>
      </w:r>
    </w:p>
    <w:p w:rsidR="00E1307C" w:rsidRDefault="00E1307C">
      <w:pPr>
        <w:pStyle w:val="BodyText3"/>
      </w:pPr>
    </w:p>
    <w:p w:rsidR="00E1307C" w:rsidRDefault="00E1307C">
      <w:pPr>
        <w:pStyle w:val="Heading1"/>
      </w:pPr>
    </w:p>
    <w:p w:rsidR="00E1307C" w:rsidRDefault="00A65433">
      <w:pPr>
        <w:pStyle w:val="Heading1"/>
        <w:rPr>
          <w:lang w:bidi="ar-JO"/>
        </w:rPr>
      </w:pPr>
      <w:r>
        <w:t>3.3 Basic School Enrollment</w:t>
      </w:r>
    </w:p>
    <w:p w:rsidR="00E1307C" w:rsidRDefault="00A65433" w:rsidP="0073197E">
      <w:pPr>
        <w:jc w:val="lowKashida"/>
      </w:pPr>
      <w:r>
        <w:t>Students at the basic stage had increased from 572,529 in the scholastic year 1994/1995 to 9</w:t>
      </w:r>
      <w:r w:rsidR="00247EDE">
        <w:t>67</w:t>
      </w:r>
      <w:r>
        <w:t>,</w:t>
      </w:r>
      <w:r w:rsidR="00247EDE">
        <w:t>300</w:t>
      </w:r>
      <w:r>
        <w:t xml:space="preserve"> in the scholastic year </w:t>
      </w:r>
      <w:r w:rsidR="00247EDE">
        <w:t>2010</w:t>
      </w:r>
      <w:r>
        <w:t>/</w:t>
      </w:r>
      <w:r w:rsidR="00247EDE">
        <w:t>2011</w:t>
      </w:r>
      <w:r>
        <w:t>, marking an increase rate of 6</w:t>
      </w:r>
      <w:r w:rsidR="0073197E">
        <w:t>8</w:t>
      </w:r>
      <w:r>
        <w:t>.9%. Females and males constituted 49.</w:t>
      </w:r>
      <w:r w:rsidR="0073197E">
        <w:t>7</w:t>
      </w:r>
      <w:r>
        <w:t>% and 50.</w:t>
      </w:r>
      <w:r w:rsidR="0073197E">
        <w:t>3</w:t>
      </w:r>
      <w:r>
        <w:t xml:space="preserve">% respectively. </w:t>
      </w:r>
    </w:p>
    <w:p w:rsidR="00E1307C" w:rsidRDefault="00E1307C">
      <w:pPr>
        <w:rPr>
          <w:lang w:bidi="ar-JO"/>
        </w:rPr>
      </w:pPr>
    </w:p>
    <w:p w:rsidR="00E1307C" w:rsidRDefault="00A65433" w:rsidP="001B2F0D">
      <w:pPr>
        <w:pStyle w:val="BodyText3"/>
      </w:pPr>
      <w:r>
        <w:t xml:space="preserve">Female enrollment ratio in the basic education stage in the scholastic year </w:t>
      </w:r>
      <w:r w:rsidR="0073197E">
        <w:t>2010</w:t>
      </w:r>
      <w:r>
        <w:t>/</w:t>
      </w:r>
      <w:r w:rsidR="0073197E">
        <w:t>2011</w:t>
      </w:r>
      <w:r>
        <w:t xml:space="preserve"> was 9</w:t>
      </w:r>
      <w:r w:rsidR="0073197E">
        <w:t>8</w:t>
      </w:r>
      <w:r>
        <w:t>.</w:t>
      </w:r>
      <w:r w:rsidR="0073197E">
        <w:t>9</w:t>
      </w:r>
      <w:r>
        <w:t xml:space="preserve"> female students per 100 male students among basic school stage; there were 98.9 female students per 100 male students in the West Bank and </w:t>
      </w:r>
      <w:r w:rsidR="001B2F0D">
        <w:t>98.9</w:t>
      </w:r>
      <w:r>
        <w:t xml:space="preserve"> per 100 male students in Gaza Strip. </w:t>
      </w:r>
    </w:p>
    <w:p w:rsidR="00E1307C" w:rsidRDefault="00E1307C">
      <w:pPr>
        <w:rPr>
          <w:lang w:bidi="ar-JO"/>
        </w:rPr>
      </w:pPr>
    </w:p>
    <w:p w:rsidR="00E1307C" w:rsidRDefault="00A65433">
      <w:pPr>
        <w:ind w:firstLine="180"/>
        <w:jc w:val="lowKashida"/>
        <w:rPr>
          <w:i/>
          <w:iCs/>
          <w:sz w:val="20"/>
          <w:szCs w:val="20"/>
          <w:lang w:bidi="ar-JO"/>
        </w:rPr>
      </w:pPr>
      <w:r>
        <w:rPr>
          <w:i/>
          <w:iCs/>
          <w:sz w:val="20"/>
          <w:szCs w:val="20"/>
          <w:lang w:bidi="ar-JO"/>
        </w:rPr>
        <w:t xml:space="preserve"> </w:t>
      </w:r>
    </w:p>
    <w:p w:rsidR="00E1307C" w:rsidRDefault="00A65433">
      <w:pPr>
        <w:pStyle w:val="Heading2"/>
      </w:pPr>
      <w:r>
        <w:t>3.4 Secondary School Enrollment</w:t>
      </w:r>
    </w:p>
    <w:p w:rsidR="00E1307C" w:rsidRDefault="00A65433" w:rsidP="002A56A4">
      <w:pPr>
        <w:jc w:val="lowKashida"/>
      </w:pPr>
      <w:r>
        <w:t xml:space="preserve">Students at secondary education stage had increased from 45,339 in 1994/1995 to </w:t>
      </w:r>
      <w:r w:rsidR="0073197E">
        <w:t>149</w:t>
      </w:r>
      <w:r>
        <w:t>,</w:t>
      </w:r>
      <w:r w:rsidR="0073197E">
        <w:t>691</w:t>
      </w:r>
      <w:r>
        <w:t xml:space="preserve">students during the scholastic years </w:t>
      </w:r>
      <w:r w:rsidR="002A56A4">
        <w:t>2010</w:t>
      </w:r>
      <w:r>
        <w:t>/</w:t>
      </w:r>
      <w:r w:rsidR="002A56A4">
        <w:t>2011</w:t>
      </w:r>
      <w:r>
        <w:t>, reflecting an increase of 23</w:t>
      </w:r>
      <w:r w:rsidR="002A56A4">
        <w:t>0</w:t>
      </w:r>
      <w:r>
        <w:t>.</w:t>
      </w:r>
      <w:r w:rsidR="002A56A4">
        <w:t>1</w:t>
      </w:r>
      <w:r>
        <w:t>%. Female students constituted 54.</w:t>
      </w:r>
      <w:r w:rsidR="002A56A4">
        <w:t>8</w:t>
      </w:r>
      <w:r>
        <w:t xml:space="preserve">% of the total number students in the secondary stage in the scholastic year </w:t>
      </w:r>
      <w:r w:rsidR="002A56A4">
        <w:t>2010</w:t>
      </w:r>
      <w:r>
        <w:t>/</w:t>
      </w:r>
      <w:r w:rsidR="002A56A4">
        <w:t>2011</w:t>
      </w:r>
      <w:r>
        <w:t>, compared to 45.5% in 1995/1996.</w:t>
      </w:r>
    </w:p>
    <w:p w:rsidR="00E1307C" w:rsidRDefault="00E1307C">
      <w:pPr>
        <w:jc w:val="both"/>
        <w:rPr>
          <w:lang w:bidi="ar-JO"/>
        </w:rPr>
      </w:pPr>
    </w:p>
    <w:p w:rsidR="00E1307C" w:rsidRDefault="00A65433" w:rsidP="002A56A4">
      <w:pPr>
        <w:pStyle w:val="BodyText3"/>
        <w:tabs>
          <w:tab w:val="right" w:pos="900"/>
        </w:tabs>
        <w:rPr>
          <w:lang w:bidi="ar-SA"/>
        </w:rPr>
      </w:pPr>
      <w:r>
        <w:rPr>
          <w:lang w:bidi="ar-SA"/>
        </w:rPr>
        <w:t>Academic education is still more attractive than vocational education. The number of students enrolled in vocational high school reached 9,</w:t>
      </w:r>
      <w:r w:rsidR="002A56A4">
        <w:rPr>
          <w:lang w:bidi="ar-SA"/>
        </w:rPr>
        <w:t>621</w:t>
      </w:r>
      <w:r>
        <w:rPr>
          <w:lang w:bidi="ar-SA"/>
        </w:rPr>
        <w:t xml:space="preserve"> in the scholastic year </w:t>
      </w:r>
      <w:r w:rsidR="002A56A4">
        <w:rPr>
          <w:lang w:bidi="ar-SA"/>
        </w:rPr>
        <w:t>2010</w:t>
      </w:r>
      <w:r>
        <w:rPr>
          <w:lang w:bidi="ar-SA"/>
        </w:rPr>
        <w:t>/</w:t>
      </w:r>
      <w:r w:rsidR="002A56A4">
        <w:rPr>
          <w:lang w:bidi="ar-SA"/>
        </w:rPr>
        <w:t>2011</w:t>
      </w:r>
      <w:r>
        <w:rPr>
          <w:lang w:bidi="ar-SA"/>
        </w:rPr>
        <w:t xml:space="preserve"> representing 6.</w:t>
      </w:r>
      <w:r w:rsidR="002A56A4">
        <w:rPr>
          <w:lang w:bidi="ar-SA"/>
        </w:rPr>
        <w:t>4</w:t>
      </w:r>
      <w:r>
        <w:rPr>
          <w:lang w:bidi="ar-SA"/>
        </w:rPr>
        <w:t>% of the total number of secondary school students. Female students constituted only 35.</w:t>
      </w:r>
      <w:r w:rsidR="002A56A4">
        <w:rPr>
          <w:lang w:bidi="ar-SA"/>
        </w:rPr>
        <w:t>7</w:t>
      </w:r>
      <w:r>
        <w:rPr>
          <w:lang w:bidi="ar-SA"/>
        </w:rPr>
        <w:t>% of vocational high school students. On the other hand, they constituted 5</w:t>
      </w:r>
      <w:r w:rsidR="002A56A4">
        <w:rPr>
          <w:lang w:bidi="ar-SA"/>
        </w:rPr>
        <w:t>6</w:t>
      </w:r>
      <w:r>
        <w:rPr>
          <w:lang w:bidi="ar-SA"/>
        </w:rPr>
        <w:t>.</w:t>
      </w:r>
      <w:r w:rsidR="002A56A4">
        <w:rPr>
          <w:lang w:bidi="ar-SA"/>
        </w:rPr>
        <w:t>2</w:t>
      </w:r>
      <w:r>
        <w:rPr>
          <w:lang w:bidi="ar-SA"/>
        </w:rPr>
        <w:t xml:space="preserve">% of academic secondary school students. </w:t>
      </w:r>
    </w:p>
    <w:p w:rsidR="002A56A4" w:rsidRDefault="002A56A4">
      <w:pPr>
        <w:pStyle w:val="BodyText3"/>
        <w:tabs>
          <w:tab w:val="right" w:pos="900"/>
        </w:tabs>
        <w:rPr>
          <w:lang w:bidi="ar-SA"/>
        </w:rPr>
      </w:pPr>
    </w:p>
    <w:p w:rsidR="002A56A4" w:rsidRDefault="002A56A4" w:rsidP="002A56A4">
      <w:pPr>
        <w:pStyle w:val="Heading2"/>
      </w:pPr>
      <w:r>
        <w:t>3.5 Repetition</w:t>
      </w:r>
    </w:p>
    <w:p w:rsidR="002A56A4" w:rsidRDefault="002A56A4" w:rsidP="002A56A4">
      <w:pPr>
        <w:jc w:val="lowKashida"/>
        <w:rPr>
          <w:lang w:bidi="ar-JO"/>
        </w:rPr>
      </w:pPr>
      <w:r>
        <w:t>The percentage of repetition at basic stage in the scholastic year 2009/2010 stood at 1.8% for males and 1.6% for females compared to 1.2% and 1.0% at secondary stage for males and females respectively. Indicators revealed that there was no significant difference between Gaza Strip and the West Bank for the two stages, (1.5% for the West Bank and 1.9% for Gaza Strip in the basic stage and 0.9% for the West Bank and 1.4% for Gaza Strip in the secondary stage).</w:t>
      </w:r>
    </w:p>
    <w:p w:rsidR="002A56A4" w:rsidRDefault="002A56A4" w:rsidP="002A56A4">
      <w:pPr>
        <w:pStyle w:val="BodyText3"/>
        <w:rPr>
          <w:color w:val="FF0000"/>
          <w:rtl/>
        </w:rPr>
      </w:pPr>
    </w:p>
    <w:p w:rsidR="002A56A4" w:rsidRDefault="002A56A4" w:rsidP="00FE03EB">
      <w:pPr>
        <w:pStyle w:val="BodyText3"/>
      </w:pPr>
      <w:r>
        <w:t xml:space="preserve">The percentages of repetition among male and female students at basic and secondary stages in the Palestinian Territory dropped significantly during the scholastic years 1994/1995-2009/2010.  For instance, female students who failed during basic stage dropped from 4.4% in 1994/1995 to 1.6% in 2009/2010. At secondary stage, female students who failed dropped from </w:t>
      </w:r>
      <w:r w:rsidR="00FE03EB">
        <w:t>1.3</w:t>
      </w:r>
      <w:r>
        <w:t>% in 1994/1995 to 1.</w:t>
      </w:r>
      <w:r w:rsidR="00FE03EB">
        <w:t>0</w:t>
      </w:r>
      <w:r>
        <w:t xml:space="preserve">% in </w:t>
      </w:r>
      <w:r w:rsidR="00FE03EB">
        <w:t>2009</w:t>
      </w:r>
      <w:r>
        <w:t>/</w:t>
      </w:r>
      <w:r w:rsidR="00FE03EB">
        <w:t>2010</w:t>
      </w:r>
      <w:r>
        <w:t xml:space="preserve">.   </w:t>
      </w:r>
    </w:p>
    <w:p w:rsidR="002A56A4" w:rsidRDefault="002A56A4" w:rsidP="002A56A4">
      <w:pPr>
        <w:pStyle w:val="BodyText3"/>
      </w:pPr>
    </w:p>
    <w:p w:rsidR="002A56A4" w:rsidRDefault="002A56A4" w:rsidP="002A56A4">
      <w:pPr>
        <w:pStyle w:val="BodyText3"/>
      </w:pPr>
      <w:r>
        <w:t xml:space="preserve">Caution should be exercised when examining the decrease in the percentages of repetition at school since the educational system has certain limitations to failing, such as students are allowed to repeat class twice and repetition starts at grade four. Also, repetition has been limited to 5% per class. </w:t>
      </w:r>
    </w:p>
    <w:p w:rsidR="002A56A4" w:rsidRDefault="002A56A4" w:rsidP="002A56A4">
      <w:pPr>
        <w:pStyle w:val="BodyText3"/>
      </w:pPr>
    </w:p>
    <w:p w:rsidR="002A56A4" w:rsidRDefault="002A56A4" w:rsidP="002A56A4">
      <w:pPr>
        <w:pStyle w:val="BodyText2"/>
      </w:pPr>
    </w:p>
    <w:p w:rsidR="00FE03EB" w:rsidRDefault="00FE03EB" w:rsidP="002A56A4">
      <w:pPr>
        <w:pStyle w:val="BodyText2"/>
      </w:pPr>
    </w:p>
    <w:p w:rsidR="00FE03EB" w:rsidRDefault="00FE03EB" w:rsidP="002A56A4">
      <w:pPr>
        <w:pStyle w:val="BodyText2"/>
      </w:pPr>
    </w:p>
    <w:p w:rsidR="00FE03EB" w:rsidRDefault="00FE03EB" w:rsidP="002A56A4">
      <w:pPr>
        <w:pStyle w:val="BodyText2"/>
      </w:pPr>
    </w:p>
    <w:p w:rsidR="00FE03EB" w:rsidRDefault="00FE03EB" w:rsidP="002A56A4">
      <w:pPr>
        <w:pStyle w:val="BodyText2"/>
      </w:pPr>
    </w:p>
    <w:p w:rsidR="00FE03EB" w:rsidRDefault="00FE03EB" w:rsidP="002A56A4">
      <w:pPr>
        <w:pStyle w:val="BodyText2"/>
      </w:pPr>
    </w:p>
    <w:p w:rsidR="002A56A4" w:rsidRDefault="002A56A4" w:rsidP="002A56A4">
      <w:pPr>
        <w:pStyle w:val="BodyText2"/>
      </w:pPr>
    </w:p>
    <w:p w:rsidR="002A56A4" w:rsidRPr="00744C3B" w:rsidRDefault="002A56A4" w:rsidP="00700C0A">
      <w:pPr>
        <w:pStyle w:val="BodyText2"/>
        <w:rPr>
          <w:sz w:val="22"/>
          <w:szCs w:val="22"/>
        </w:rPr>
      </w:pPr>
      <w:r w:rsidRPr="00744C3B">
        <w:rPr>
          <w:sz w:val="22"/>
          <w:szCs w:val="22"/>
        </w:rPr>
        <w:lastRenderedPageBreak/>
        <w:t xml:space="preserve">Figure (3-1) :Repetition </w:t>
      </w:r>
      <w:r w:rsidR="00700C0A" w:rsidRPr="00744C3B">
        <w:rPr>
          <w:sz w:val="22"/>
          <w:szCs w:val="22"/>
        </w:rPr>
        <w:t>r</w:t>
      </w:r>
      <w:r w:rsidRPr="00744C3B">
        <w:rPr>
          <w:sz w:val="22"/>
          <w:szCs w:val="22"/>
        </w:rPr>
        <w:t xml:space="preserve">ate in the </w:t>
      </w:r>
      <w:r w:rsidR="00700C0A" w:rsidRPr="00744C3B">
        <w:rPr>
          <w:sz w:val="22"/>
          <w:szCs w:val="22"/>
        </w:rPr>
        <w:t>b</w:t>
      </w:r>
      <w:r w:rsidRPr="00744C3B">
        <w:rPr>
          <w:sz w:val="22"/>
          <w:szCs w:val="22"/>
        </w:rPr>
        <w:t xml:space="preserve">asic </w:t>
      </w:r>
      <w:r w:rsidR="00700C0A" w:rsidRPr="00744C3B">
        <w:rPr>
          <w:sz w:val="22"/>
          <w:szCs w:val="22"/>
        </w:rPr>
        <w:t>s</w:t>
      </w:r>
      <w:r w:rsidRPr="00744C3B">
        <w:rPr>
          <w:sz w:val="22"/>
          <w:szCs w:val="22"/>
        </w:rPr>
        <w:t xml:space="preserve">tage by </w:t>
      </w:r>
      <w:r w:rsidR="00700C0A" w:rsidRPr="00744C3B">
        <w:rPr>
          <w:sz w:val="22"/>
          <w:szCs w:val="22"/>
        </w:rPr>
        <w:t>r</w:t>
      </w:r>
      <w:r w:rsidRPr="00744C3B">
        <w:rPr>
          <w:sz w:val="22"/>
          <w:szCs w:val="22"/>
        </w:rPr>
        <w:t xml:space="preserve">egion and </w:t>
      </w:r>
      <w:r w:rsidR="00700C0A" w:rsidRPr="00744C3B">
        <w:rPr>
          <w:sz w:val="22"/>
          <w:szCs w:val="22"/>
        </w:rPr>
        <w:t>s</w:t>
      </w:r>
      <w:r w:rsidRPr="00744C3B">
        <w:rPr>
          <w:sz w:val="22"/>
          <w:szCs w:val="22"/>
        </w:rPr>
        <w:t xml:space="preserve">elected </w:t>
      </w:r>
      <w:r w:rsidR="00700C0A" w:rsidRPr="00744C3B">
        <w:rPr>
          <w:sz w:val="22"/>
          <w:szCs w:val="22"/>
        </w:rPr>
        <w:t>s</w:t>
      </w:r>
      <w:r w:rsidRPr="00744C3B">
        <w:rPr>
          <w:sz w:val="22"/>
          <w:szCs w:val="22"/>
        </w:rPr>
        <w:t xml:space="preserve">cholastic </w:t>
      </w:r>
      <w:r w:rsidR="00700C0A" w:rsidRPr="00744C3B">
        <w:rPr>
          <w:sz w:val="22"/>
          <w:szCs w:val="22"/>
        </w:rPr>
        <w:t>y</w:t>
      </w:r>
      <w:r w:rsidRPr="00744C3B">
        <w:rPr>
          <w:sz w:val="22"/>
          <w:szCs w:val="22"/>
        </w:rPr>
        <w:t>ears</w:t>
      </w:r>
    </w:p>
    <w:p w:rsidR="002A56A4" w:rsidRDefault="002A56A4" w:rsidP="005A0182">
      <w:pPr>
        <w:pStyle w:val="BodyText2"/>
        <w:jc w:val="left"/>
        <w:rPr>
          <w:i/>
          <w:iCs/>
        </w:rPr>
      </w:pPr>
      <w:r>
        <w:rPr>
          <w:noProof/>
          <w:lang w:bidi="ar-SA"/>
        </w:rPr>
        <w:drawing>
          <wp:inline distT="0" distB="0" distL="0" distR="0">
            <wp:extent cx="5943600" cy="3486150"/>
            <wp:effectExtent l="57150" t="0" r="76200" b="9525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sz w:val="20"/>
          <w:szCs w:val="20"/>
        </w:rPr>
        <w:t xml:space="preserve">Source: Palestinian Central Bureau of Statistics </w:t>
      </w:r>
      <w:r w:rsidR="005A0182">
        <w:rPr>
          <w:sz w:val="20"/>
          <w:szCs w:val="20"/>
        </w:rPr>
        <w:t>2012</w:t>
      </w:r>
      <w:r>
        <w:rPr>
          <w:b w:val="0"/>
          <w:bCs w:val="0"/>
          <w:sz w:val="20"/>
          <w:szCs w:val="20"/>
        </w:rPr>
        <w:t xml:space="preserve">. </w:t>
      </w:r>
      <w:r>
        <w:rPr>
          <w:b w:val="0"/>
          <w:bCs w:val="0"/>
          <w:i/>
          <w:iCs/>
          <w:sz w:val="20"/>
          <w:szCs w:val="20"/>
        </w:rPr>
        <w:t xml:space="preserve">Education Survey Database. Ministry of Education and Higher Education. </w:t>
      </w:r>
      <w:r w:rsidRPr="00E00B3C">
        <w:rPr>
          <w:sz w:val="20"/>
          <w:szCs w:val="20"/>
        </w:rPr>
        <w:t>Ramallah-Palestine</w:t>
      </w:r>
      <w:r>
        <w:rPr>
          <w:i/>
          <w:iCs/>
        </w:rPr>
        <w:t>.</w:t>
      </w:r>
    </w:p>
    <w:p w:rsidR="002A56A4" w:rsidRDefault="002A56A4" w:rsidP="002A56A4">
      <w:pPr>
        <w:pStyle w:val="BodyText2"/>
      </w:pPr>
    </w:p>
    <w:p w:rsidR="002A56A4" w:rsidRDefault="002A56A4" w:rsidP="002A56A4">
      <w:pPr>
        <w:pStyle w:val="BodyText2"/>
        <w:rPr>
          <w:sz w:val="22"/>
          <w:szCs w:val="22"/>
        </w:rPr>
      </w:pPr>
    </w:p>
    <w:p w:rsidR="002A56A4" w:rsidRDefault="002A56A4" w:rsidP="002A56A4">
      <w:pPr>
        <w:pStyle w:val="BodyText2"/>
        <w:rPr>
          <w:sz w:val="22"/>
          <w:szCs w:val="22"/>
        </w:rPr>
      </w:pPr>
    </w:p>
    <w:p w:rsidR="002A56A4" w:rsidRDefault="002A56A4" w:rsidP="002A56A4">
      <w:pPr>
        <w:pStyle w:val="BodyText2"/>
        <w:rPr>
          <w:sz w:val="22"/>
          <w:szCs w:val="22"/>
        </w:rPr>
      </w:pPr>
    </w:p>
    <w:p w:rsidR="002A56A4" w:rsidRPr="00744C3B" w:rsidRDefault="002A56A4" w:rsidP="00700C0A">
      <w:pPr>
        <w:pStyle w:val="BodyText2"/>
        <w:rPr>
          <w:sz w:val="22"/>
          <w:szCs w:val="22"/>
        </w:rPr>
      </w:pPr>
      <w:r w:rsidRPr="00744C3B">
        <w:rPr>
          <w:sz w:val="22"/>
          <w:szCs w:val="22"/>
        </w:rPr>
        <w:t xml:space="preserve">Figure (3-2): Repetition </w:t>
      </w:r>
      <w:r w:rsidR="00700C0A" w:rsidRPr="00744C3B">
        <w:rPr>
          <w:sz w:val="22"/>
          <w:szCs w:val="22"/>
        </w:rPr>
        <w:t>r</w:t>
      </w:r>
      <w:r w:rsidRPr="00744C3B">
        <w:rPr>
          <w:sz w:val="22"/>
          <w:szCs w:val="22"/>
        </w:rPr>
        <w:t xml:space="preserve">ate in the </w:t>
      </w:r>
      <w:r w:rsidR="00700C0A" w:rsidRPr="00744C3B">
        <w:rPr>
          <w:sz w:val="22"/>
          <w:szCs w:val="22"/>
        </w:rPr>
        <w:t>s</w:t>
      </w:r>
      <w:r w:rsidRPr="00744C3B">
        <w:rPr>
          <w:sz w:val="22"/>
          <w:szCs w:val="22"/>
        </w:rPr>
        <w:t xml:space="preserve">econdary </w:t>
      </w:r>
      <w:r w:rsidR="00700C0A" w:rsidRPr="00744C3B">
        <w:rPr>
          <w:sz w:val="22"/>
          <w:szCs w:val="22"/>
        </w:rPr>
        <w:t>s</w:t>
      </w:r>
      <w:r w:rsidRPr="00744C3B">
        <w:rPr>
          <w:sz w:val="22"/>
          <w:szCs w:val="22"/>
        </w:rPr>
        <w:t xml:space="preserve">tage by </w:t>
      </w:r>
      <w:r w:rsidR="00700C0A" w:rsidRPr="00744C3B">
        <w:rPr>
          <w:sz w:val="22"/>
          <w:szCs w:val="22"/>
        </w:rPr>
        <w:t>r</w:t>
      </w:r>
      <w:r w:rsidRPr="00744C3B">
        <w:rPr>
          <w:sz w:val="22"/>
          <w:szCs w:val="22"/>
        </w:rPr>
        <w:t xml:space="preserve">egion and </w:t>
      </w:r>
      <w:r w:rsidR="00700C0A" w:rsidRPr="00744C3B">
        <w:rPr>
          <w:sz w:val="22"/>
          <w:szCs w:val="22"/>
        </w:rPr>
        <w:t>s</w:t>
      </w:r>
      <w:r w:rsidRPr="00744C3B">
        <w:rPr>
          <w:sz w:val="22"/>
          <w:szCs w:val="22"/>
        </w:rPr>
        <w:t xml:space="preserve">elected  </w:t>
      </w:r>
      <w:r w:rsidR="00700C0A" w:rsidRPr="00744C3B">
        <w:rPr>
          <w:sz w:val="22"/>
          <w:szCs w:val="22"/>
        </w:rPr>
        <w:t>s</w:t>
      </w:r>
      <w:r w:rsidRPr="00744C3B">
        <w:rPr>
          <w:sz w:val="22"/>
          <w:szCs w:val="22"/>
        </w:rPr>
        <w:t xml:space="preserve">cholastic </w:t>
      </w:r>
      <w:r w:rsidR="00700C0A" w:rsidRPr="00744C3B">
        <w:rPr>
          <w:sz w:val="22"/>
          <w:szCs w:val="22"/>
        </w:rPr>
        <w:t>y</w:t>
      </w:r>
      <w:r w:rsidRPr="00744C3B">
        <w:rPr>
          <w:sz w:val="22"/>
          <w:szCs w:val="22"/>
        </w:rPr>
        <w:t xml:space="preserve">ears </w:t>
      </w:r>
    </w:p>
    <w:p w:rsidR="002A56A4" w:rsidRDefault="002A56A4" w:rsidP="002A56A4">
      <w:pPr>
        <w:pStyle w:val="BodyText2"/>
        <w:rPr>
          <w:sz w:val="6"/>
          <w:szCs w:val="6"/>
        </w:rPr>
      </w:pPr>
      <w:r>
        <w:rPr>
          <w:noProof/>
          <w:lang w:bidi="ar-SA"/>
        </w:rPr>
        <w:drawing>
          <wp:inline distT="0" distB="0" distL="0" distR="0">
            <wp:extent cx="5943600" cy="3257550"/>
            <wp:effectExtent l="57150" t="0" r="76200" b="9525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A56A4" w:rsidRDefault="002A56A4" w:rsidP="005A0182">
      <w:pPr>
        <w:ind w:left="180" w:hanging="180"/>
        <w:jc w:val="lowKashida"/>
        <w:rPr>
          <w:i/>
          <w:iCs/>
          <w:sz w:val="20"/>
          <w:szCs w:val="20"/>
        </w:rPr>
      </w:pPr>
      <w:r>
        <w:rPr>
          <w:b/>
          <w:bCs/>
          <w:sz w:val="20"/>
          <w:szCs w:val="20"/>
        </w:rPr>
        <w:t xml:space="preserve">    Source: Palestinian Central Bureau of Statistics </w:t>
      </w:r>
      <w:r w:rsidR="005A0182">
        <w:rPr>
          <w:b/>
          <w:bCs/>
          <w:sz w:val="20"/>
          <w:szCs w:val="20"/>
        </w:rPr>
        <w:t>2012</w:t>
      </w:r>
      <w:r>
        <w:rPr>
          <w:sz w:val="20"/>
          <w:szCs w:val="20"/>
        </w:rPr>
        <w:t xml:space="preserve">. </w:t>
      </w:r>
      <w:r>
        <w:rPr>
          <w:i/>
          <w:iCs/>
          <w:sz w:val="20"/>
          <w:szCs w:val="20"/>
        </w:rPr>
        <w:t xml:space="preserve">Education Survey Database. Ministry of  Education and Higher Education. </w:t>
      </w:r>
      <w:r w:rsidRPr="00E00B3C">
        <w:rPr>
          <w:b/>
          <w:bCs/>
          <w:sz w:val="20"/>
          <w:szCs w:val="20"/>
        </w:rPr>
        <w:t>Ramallah-Palestine</w:t>
      </w:r>
      <w:r w:rsidRPr="00E00B3C">
        <w:rPr>
          <w:b/>
          <w:bCs/>
          <w:i/>
          <w:iCs/>
          <w:sz w:val="20"/>
          <w:szCs w:val="20"/>
        </w:rPr>
        <w:t>.</w:t>
      </w:r>
    </w:p>
    <w:p w:rsidR="002A56A4" w:rsidRDefault="002A56A4" w:rsidP="002A56A4">
      <w:pPr>
        <w:rPr>
          <w:i/>
          <w:iCs/>
          <w:sz w:val="20"/>
          <w:szCs w:val="20"/>
          <w:lang w:bidi="ar-JO"/>
        </w:rPr>
      </w:pPr>
    </w:p>
    <w:p w:rsidR="002A56A4" w:rsidRDefault="002A56A4" w:rsidP="002A56A4">
      <w:pPr>
        <w:rPr>
          <w:i/>
          <w:iCs/>
          <w:sz w:val="20"/>
          <w:szCs w:val="20"/>
          <w:lang w:bidi="ar-JO"/>
        </w:rPr>
      </w:pPr>
    </w:p>
    <w:p w:rsidR="002A56A4" w:rsidRDefault="002A56A4" w:rsidP="002A56A4">
      <w:pPr>
        <w:rPr>
          <w:b/>
          <w:bCs/>
          <w:lang w:bidi="ar-JO"/>
        </w:rPr>
      </w:pPr>
      <w:r>
        <w:rPr>
          <w:b/>
          <w:bCs/>
          <w:lang w:bidi="ar-JO"/>
        </w:rPr>
        <w:lastRenderedPageBreak/>
        <w:t>3.6 Drop-Out</w:t>
      </w:r>
      <w:r w:rsidR="00795EDA">
        <w:rPr>
          <w:b/>
          <w:bCs/>
          <w:lang w:bidi="ar-JO"/>
        </w:rPr>
        <w:t>s</w:t>
      </w:r>
      <w:r>
        <w:rPr>
          <w:b/>
          <w:bCs/>
          <w:lang w:bidi="ar-JO"/>
        </w:rPr>
        <w:t xml:space="preserve"> Rate </w:t>
      </w:r>
    </w:p>
    <w:p w:rsidR="002A56A4" w:rsidRDefault="002A56A4" w:rsidP="002A56A4">
      <w:pPr>
        <w:rPr>
          <w:b/>
          <w:bCs/>
          <w:lang w:bidi="ar-JO"/>
        </w:rPr>
      </w:pPr>
    </w:p>
    <w:p w:rsidR="002A56A4" w:rsidRDefault="002A56A4" w:rsidP="00B6309A">
      <w:pPr>
        <w:pStyle w:val="BodyText3"/>
      </w:pPr>
      <w:r>
        <w:t>The drop-out</w:t>
      </w:r>
      <w:r w:rsidR="0003260D">
        <w:t>s</w:t>
      </w:r>
      <w:r>
        <w:t xml:space="preserve"> rate at the basic </w:t>
      </w:r>
      <w:r w:rsidR="0003260D">
        <w:t xml:space="preserve">schooling </w:t>
      </w:r>
      <w:r>
        <w:t>stage in the scho</w:t>
      </w:r>
      <w:r w:rsidR="00B6309A">
        <w:t xml:space="preserve">oling </w:t>
      </w:r>
      <w:r>
        <w:t xml:space="preserve"> year </w:t>
      </w:r>
      <w:r w:rsidR="00B6309A">
        <w:t xml:space="preserve">of </w:t>
      </w:r>
      <w:r w:rsidR="005A0182">
        <w:t>2009</w:t>
      </w:r>
      <w:r>
        <w:t>/</w:t>
      </w:r>
      <w:r w:rsidR="005A0182">
        <w:t>2010</w:t>
      </w:r>
      <w:r>
        <w:t xml:space="preserve"> in the Palestinian </w:t>
      </w:r>
      <w:r w:rsidR="00B6309A">
        <w:t xml:space="preserve">territory </w:t>
      </w:r>
      <w:r>
        <w:t>was 1.</w:t>
      </w:r>
      <w:r w:rsidR="005A0182">
        <w:t>0</w:t>
      </w:r>
      <w:r>
        <w:t>% for male students and 0.</w:t>
      </w:r>
      <w:r w:rsidR="005A0182">
        <w:t>7</w:t>
      </w:r>
      <w:r>
        <w:t xml:space="preserve">% for female students. At the secondary stage, the rates were </w:t>
      </w:r>
      <w:r w:rsidR="005A0182">
        <w:t>1.9</w:t>
      </w:r>
      <w:r>
        <w:t xml:space="preserve">% for males and </w:t>
      </w:r>
      <w:r w:rsidR="005A0182">
        <w:t>2</w:t>
      </w:r>
      <w:r>
        <w:t>.</w:t>
      </w:r>
      <w:r w:rsidR="005A0182">
        <w:t>1</w:t>
      </w:r>
      <w:r>
        <w:t>% for females.</w:t>
      </w:r>
    </w:p>
    <w:p w:rsidR="002A56A4" w:rsidRDefault="002A56A4" w:rsidP="002A56A4">
      <w:pPr>
        <w:rPr>
          <w:lang w:bidi="ar-JO"/>
        </w:rPr>
      </w:pPr>
    </w:p>
    <w:p w:rsidR="002A56A4" w:rsidRDefault="002A56A4" w:rsidP="00B6309A">
      <w:pPr>
        <w:pStyle w:val="BodyText3"/>
      </w:pPr>
      <w:r>
        <w:t>The drop-out</w:t>
      </w:r>
      <w:r w:rsidR="00B6309A">
        <w:t>s</w:t>
      </w:r>
      <w:r>
        <w:t xml:space="preserve"> rate among females at the secondary </w:t>
      </w:r>
      <w:r w:rsidR="00B6309A">
        <w:t xml:space="preserve">schooling </w:t>
      </w:r>
      <w:r>
        <w:t xml:space="preserve">stage </w:t>
      </w:r>
      <w:r w:rsidR="00B6309A">
        <w:t xml:space="preserve">of  </w:t>
      </w:r>
      <w:r w:rsidR="005A0182">
        <w:t>2009</w:t>
      </w:r>
      <w:r>
        <w:t>/</w:t>
      </w:r>
      <w:r w:rsidR="005A0182">
        <w:t>2010</w:t>
      </w:r>
      <w:r>
        <w:t xml:space="preserve"> was </w:t>
      </w:r>
      <w:r w:rsidR="005A0182">
        <w:t>2</w:t>
      </w:r>
      <w:r>
        <w:t>.</w:t>
      </w:r>
      <w:r w:rsidR="005A0182">
        <w:t>1</w:t>
      </w:r>
      <w:r>
        <w:t>%, distributed as 2.</w:t>
      </w:r>
      <w:r w:rsidR="005A0182">
        <w:t>5</w:t>
      </w:r>
      <w:r>
        <w:t xml:space="preserve">% in West Bank and </w:t>
      </w:r>
      <w:r w:rsidR="005A0182">
        <w:t>1.5</w:t>
      </w:r>
      <w:r>
        <w:t>% in Gaza Strip, while the rate at the basic stage was 0.</w:t>
      </w:r>
      <w:r w:rsidR="005A0182">
        <w:t>7</w:t>
      </w:r>
      <w:r>
        <w:t>%,  distributed as 0.</w:t>
      </w:r>
      <w:r w:rsidR="005A0182">
        <w:t>4</w:t>
      </w:r>
      <w:r>
        <w:t xml:space="preserve">% in the West Bank and </w:t>
      </w:r>
      <w:r w:rsidR="005A0182">
        <w:t>1.1</w:t>
      </w:r>
      <w:r>
        <w:t xml:space="preserve">% in Gaza Strip. </w:t>
      </w:r>
    </w:p>
    <w:p w:rsidR="002A56A4" w:rsidRDefault="002A56A4" w:rsidP="002A56A4">
      <w:pPr>
        <w:pStyle w:val="BodyText2"/>
        <w:rPr>
          <w:lang w:bidi="ar-SA"/>
        </w:rPr>
      </w:pPr>
    </w:p>
    <w:p w:rsidR="002A56A4" w:rsidRDefault="002A56A4" w:rsidP="005A0182">
      <w:pPr>
        <w:pStyle w:val="BodyText3"/>
      </w:pPr>
      <w:r>
        <w:t xml:space="preserve">The drop-out rate among males at the secondary stage in </w:t>
      </w:r>
      <w:r w:rsidR="005A0182">
        <w:t>2009</w:t>
      </w:r>
      <w:r>
        <w:t>/</w:t>
      </w:r>
      <w:r w:rsidR="005A0182">
        <w:t>2010</w:t>
      </w:r>
      <w:r>
        <w:t xml:space="preserve"> was </w:t>
      </w:r>
      <w:r w:rsidR="005A0182">
        <w:t>1.9</w:t>
      </w:r>
      <w:r>
        <w:t xml:space="preserve">%, distributed as </w:t>
      </w:r>
      <w:r w:rsidR="005A0182">
        <w:t>2.3</w:t>
      </w:r>
      <w:r>
        <w:t xml:space="preserve">% in the West Bank and </w:t>
      </w:r>
      <w:r w:rsidR="005A0182">
        <w:t>1.3</w:t>
      </w:r>
      <w:r>
        <w:t>% in Gaza Strip, while the rate at the basic stage was 1.</w:t>
      </w:r>
      <w:r w:rsidR="005A0182">
        <w:t>0</w:t>
      </w:r>
      <w:r>
        <w:t xml:space="preserve">%,  distributed as </w:t>
      </w:r>
      <w:r w:rsidR="005A0182">
        <w:t>0.9</w:t>
      </w:r>
      <w:r>
        <w:t>% in the West Bank and 1.</w:t>
      </w:r>
      <w:r w:rsidR="005A0182">
        <w:t>2</w:t>
      </w:r>
      <w:r>
        <w:t xml:space="preserve">% in Gaza Strip. </w:t>
      </w:r>
    </w:p>
    <w:p w:rsidR="002A56A4" w:rsidRDefault="002A56A4" w:rsidP="002A56A4">
      <w:pPr>
        <w:pStyle w:val="BodyText2"/>
        <w:rPr>
          <w:lang w:bidi="ar-SA"/>
        </w:rPr>
      </w:pPr>
    </w:p>
    <w:p w:rsidR="002A56A4" w:rsidRPr="00700C0A" w:rsidRDefault="002A56A4" w:rsidP="00700C0A">
      <w:pPr>
        <w:pStyle w:val="BodyText2"/>
        <w:rPr>
          <w:lang w:bidi="ar-SA"/>
        </w:rPr>
      </w:pPr>
      <w:r w:rsidRPr="00744C3B">
        <w:rPr>
          <w:sz w:val="22"/>
          <w:szCs w:val="22"/>
          <w:lang w:bidi="ar-SA"/>
        </w:rPr>
        <w:t xml:space="preserve">Figure (3-3): Drop-out </w:t>
      </w:r>
      <w:r w:rsidR="00700C0A" w:rsidRPr="00744C3B">
        <w:rPr>
          <w:sz w:val="22"/>
          <w:szCs w:val="22"/>
          <w:lang w:bidi="ar-SA"/>
        </w:rPr>
        <w:t>r</w:t>
      </w:r>
      <w:r w:rsidRPr="00744C3B">
        <w:rPr>
          <w:sz w:val="22"/>
          <w:szCs w:val="22"/>
          <w:lang w:bidi="ar-SA"/>
        </w:rPr>
        <w:t xml:space="preserve">ates in the </w:t>
      </w:r>
      <w:r w:rsidR="00700C0A" w:rsidRPr="00744C3B">
        <w:rPr>
          <w:sz w:val="22"/>
          <w:szCs w:val="22"/>
          <w:lang w:bidi="ar-SA"/>
        </w:rPr>
        <w:t>b</w:t>
      </w:r>
      <w:r w:rsidRPr="00744C3B">
        <w:rPr>
          <w:sz w:val="22"/>
          <w:szCs w:val="22"/>
          <w:lang w:bidi="ar-SA"/>
        </w:rPr>
        <w:t xml:space="preserve">asic </w:t>
      </w:r>
      <w:r w:rsidR="00700C0A" w:rsidRPr="00744C3B">
        <w:rPr>
          <w:sz w:val="22"/>
          <w:szCs w:val="22"/>
          <w:lang w:bidi="ar-SA"/>
        </w:rPr>
        <w:t>s</w:t>
      </w:r>
      <w:r w:rsidRPr="00744C3B">
        <w:rPr>
          <w:sz w:val="22"/>
          <w:szCs w:val="22"/>
          <w:lang w:bidi="ar-SA"/>
        </w:rPr>
        <w:t xml:space="preserve">tage by </w:t>
      </w:r>
      <w:r w:rsidR="00700C0A" w:rsidRPr="00744C3B">
        <w:rPr>
          <w:sz w:val="22"/>
          <w:szCs w:val="22"/>
          <w:lang w:bidi="ar-SA"/>
        </w:rPr>
        <w:t>r</w:t>
      </w:r>
      <w:r w:rsidRPr="00744C3B">
        <w:rPr>
          <w:sz w:val="22"/>
          <w:szCs w:val="22"/>
          <w:lang w:bidi="ar-SA"/>
        </w:rPr>
        <w:t xml:space="preserve">egion and </w:t>
      </w:r>
      <w:r w:rsidR="00700C0A" w:rsidRPr="00744C3B">
        <w:rPr>
          <w:sz w:val="22"/>
          <w:szCs w:val="22"/>
          <w:lang w:bidi="ar-SA"/>
        </w:rPr>
        <w:t>s</w:t>
      </w:r>
      <w:r w:rsidRPr="00744C3B">
        <w:rPr>
          <w:sz w:val="22"/>
          <w:szCs w:val="22"/>
          <w:lang w:bidi="ar-SA"/>
        </w:rPr>
        <w:t xml:space="preserve">elected </w:t>
      </w:r>
      <w:r w:rsidR="00700C0A" w:rsidRPr="00744C3B">
        <w:rPr>
          <w:sz w:val="22"/>
          <w:szCs w:val="22"/>
          <w:lang w:bidi="ar-SA"/>
        </w:rPr>
        <w:t>s</w:t>
      </w:r>
      <w:r w:rsidRPr="00744C3B">
        <w:rPr>
          <w:sz w:val="22"/>
          <w:szCs w:val="22"/>
          <w:lang w:bidi="ar-SA"/>
        </w:rPr>
        <w:t xml:space="preserve">cholastic </w:t>
      </w:r>
      <w:r w:rsidR="00700C0A" w:rsidRPr="00744C3B">
        <w:rPr>
          <w:sz w:val="22"/>
          <w:szCs w:val="22"/>
          <w:lang w:bidi="ar-SA"/>
        </w:rPr>
        <w:t>y</w:t>
      </w:r>
      <w:r w:rsidRPr="00744C3B">
        <w:rPr>
          <w:sz w:val="22"/>
          <w:szCs w:val="22"/>
          <w:lang w:bidi="ar-SA"/>
        </w:rPr>
        <w:t xml:space="preserve">ears </w:t>
      </w:r>
    </w:p>
    <w:p w:rsidR="002A56A4" w:rsidRDefault="002A56A4" w:rsidP="0020699B">
      <w:pPr>
        <w:pStyle w:val="BodyText2"/>
        <w:jc w:val="lowKashida"/>
        <w:rPr>
          <w:b w:val="0"/>
          <w:bCs w:val="0"/>
          <w:i/>
          <w:iCs/>
          <w:sz w:val="20"/>
          <w:szCs w:val="20"/>
        </w:rPr>
      </w:pPr>
      <w:r>
        <w:rPr>
          <w:noProof/>
          <w:lang w:bidi="ar-SA"/>
        </w:rPr>
        <w:drawing>
          <wp:inline distT="0" distB="0" distL="0" distR="0">
            <wp:extent cx="5972175" cy="2943225"/>
            <wp:effectExtent l="57150" t="0" r="66675" b="85725"/>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sz w:val="20"/>
          <w:szCs w:val="20"/>
        </w:rPr>
        <w:t xml:space="preserve">Source: Palestinian Central Bureau of Statistics, </w:t>
      </w:r>
      <w:r w:rsidR="0020699B">
        <w:rPr>
          <w:sz w:val="20"/>
          <w:szCs w:val="20"/>
        </w:rPr>
        <w:t>2012</w:t>
      </w:r>
      <w:r>
        <w:rPr>
          <w:sz w:val="20"/>
          <w:szCs w:val="20"/>
        </w:rPr>
        <w:t>.</w:t>
      </w:r>
      <w:r>
        <w:rPr>
          <w:b w:val="0"/>
          <w:bCs w:val="0"/>
          <w:sz w:val="20"/>
          <w:szCs w:val="20"/>
        </w:rPr>
        <w:t xml:space="preserve"> </w:t>
      </w:r>
      <w:r>
        <w:rPr>
          <w:b w:val="0"/>
          <w:bCs w:val="0"/>
          <w:i/>
          <w:iCs/>
          <w:sz w:val="20"/>
          <w:szCs w:val="20"/>
        </w:rPr>
        <w:t>Education Survey Database. Ministry of Education and Higher Education</w:t>
      </w:r>
      <w:r w:rsidRPr="00E00B3C">
        <w:rPr>
          <w:i/>
          <w:iCs/>
          <w:sz w:val="20"/>
          <w:szCs w:val="20"/>
        </w:rPr>
        <w:t xml:space="preserve">. </w:t>
      </w:r>
      <w:r w:rsidRPr="00E00B3C">
        <w:rPr>
          <w:sz w:val="20"/>
          <w:szCs w:val="20"/>
        </w:rPr>
        <w:t>Ramallah-Palestine</w:t>
      </w:r>
      <w:r>
        <w:rPr>
          <w:b w:val="0"/>
          <w:bCs w:val="0"/>
          <w:i/>
          <w:iCs/>
          <w:sz w:val="20"/>
          <w:szCs w:val="20"/>
        </w:rPr>
        <w:t>.</w:t>
      </w: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2A56A4">
      <w:pPr>
        <w:pStyle w:val="BodyText2"/>
        <w:rPr>
          <w:b w:val="0"/>
          <w:bCs w:val="0"/>
          <w:i/>
          <w:iCs/>
          <w:sz w:val="20"/>
          <w:szCs w:val="20"/>
        </w:rPr>
      </w:pPr>
    </w:p>
    <w:p w:rsidR="002A56A4" w:rsidRDefault="002A56A4" w:rsidP="00700C0A">
      <w:pPr>
        <w:pStyle w:val="BodyText2"/>
        <w:rPr>
          <w:sz w:val="6"/>
          <w:szCs w:val="6"/>
          <w:lang w:bidi="ar-SA"/>
        </w:rPr>
      </w:pPr>
      <w:r w:rsidRPr="00744C3B">
        <w:rPr>
          <w:sz w:val="22"/>
          <w:szCs w:val="22"/>
          <w:lang w:bidi="ar-SA"/>
        </w:rPr>
        <w:lastRenderedPageBreak/>
        <w:t xml:space="preserve">Figure (3-4): Drop-out </w:t>
      </w:r>
      <w:r w:rsidR="00700C0A" w:rsidRPr="00744C3B">
        <w:rPr>
          <w:sz w:val="22"/>
          <w:szCs w:val="22"/>
          <w:lang w:bidi="ar-SA"/>
        </w:rPr>
        <w:t>r</w:t>
      </w:r>
      <w:r w:rsidRPr="00744C3B">
        <w:rPr>
          <w:sz w:val="22"/>
          <w:szCs w:val="22"/>
          <w:lang w:bidi="ar-SA"/>
        </w:rPr>
        <w:t xml:space="preserve">ates in the </w:t>
      </w:r>
      <w:r w:rsidR="00700C0A" w:rsidRPr="00744C3B">
        <w:rPr>
          <w:sz w:val="22"/>
          <w:szCs w:val="22"/>
          <w:lang w:bidi="ar-SA"/>
        </w:rPr>
        <w:t>s</w:t>
      </w:r>
      <w:r w:rsidRPr="00744C3B">
        <w:rPr>
          <w:sz w:val="22"/>
          <w:szCs w:val="22"/>
          <w:lang w:bidi="ar-SA"/>
        </w:rPr>
        <w:t xml:space="preserve">econdary </w:t>
      </w:r>
      <w:r w:rsidR="00700C0A" w:rsidRPr="00744C3B">
        <w:rPr>
          <w:sz w:val="22"/>
          <w:szCs w:val="22"/>
          <w:lang w:bidi="ar-SA"/>
        </w:rPr>
        <w:t>s</w:t>
      </w:r>
      <w:r w:rsidRPr="00744C3B">
        <w:rPr>
          <w:sz w:val="22"/>
          <w:szCs w:val="22"/>
          <w:lang w:bidi="ar-SA"/>
        </w:rPr>
        <w:t xml:space="preserve">tage by </w:t>
      </w:r>
      <w:r w:rsidR="00700C0A" w:rsidRPr="00744C3B">
        <w:rPr>
          <w:sz w:val="22"/>
          <w:szCs w:val="22"/>
          <w:lang w:bidi="ar-SA"/>
        </w:rPr>
        <w:t>r</w:t>
      </w:r>
      <w:r w:rsidRPr="00744C3B">
        <w:rPr>
          <w:sz w:val="22"/>
          <w:szCs w:val="22"/>
          <w:lang w:bidi="ar-SA"/>
        </w:rPr>
        <w:t xml:space="preserve">egion </w:t>
      </w:r>
      <w:r w:rsidR="00700C0A" w:rsidRPr="00744C3B">
        <w:rPr>
          <w:sz w:val="22"/>
          <w:szCs w:val="22"/>
          <w:lang w:bidi="ar-SA"/>
        </w:rPr>
        <w:t>s</w:t>
      </w:r>
      <w:r w:rsidRPr="00744C3B">
        <w:rPr>
          <w:sz w:val="22"/>
          <w:szCs w:val="22"/>
          <w:lang w:bidi="ar-SA"/>
        </w:rPr>
        <w:t xml:space="preserve">elected </w:t>
      </w:r>
      <w:r w:rsidR="00700C0A" w:rsidRPr="00744C3B">
        <w:rPr>
          <w:sz w:val="22"/>
          <w:szCs w:val="22"/>
          <w:lang w:bidi="ar-SA"/>
        </w:rPr>
        <w:t>s</w:t>
      </w:r>
      <w:r w:rsidRPr="00744C3B">
        <w:rPr>
          <w:sz w:val="22"/>
          <w:szCs w:val="22"/>
          <w:lang w:bidi="ar-SA"/>
        </w:rPr>
        <w:t xml:space="preserve">cholastic </w:t>
      </w:r>
      <w:r w:rsidR="00700C0A" w:rsidRPr="00744C3B">
        <w:rPr>
          <w:sz w:val="22"/>
          <w:szCs w:val="22"/>
          <w:lang w:bidi="ar-SA"/>
        </w:rPr>
        <w:t>y</w:t>
      </w:r>
      <w:r w:rsidRPr="00744C3B">
        <w:rPr>
          <w:sz w:val="22"/>
          <w:szCs w:val="22"/>
          <w:lang w:bidi="ar-SA"/>
        </w:rPr>
        <w:t>ears</w:t>
      </w:r>
      <w:r w:rsidRPr="00744C3B">
        <w:rPr>
          <w:lang w:bidi="ar-SA"/>
        </w:rPr>
        <w:t xml:space="preserve"> </w:t>
      </w:r>
      <w:r>
        <w:rPr>
          <w:noProof/>
          <w:lang w:bidi="ar-SA"/>
        </w:rPr>
        <w:drawing>
          <wp:inline distT="0" distB="0" distL="0" distR="0">
            <wp:extent cx="5867400" cy="3609975"/>
            <wp:effectExtent l="57150" t="0" r="76200" b="85725"/>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56A4" w:rsidRDefault="002A56A4" w:rsidP="0020699B">
      <w:pPr>
        <w:pStyle w:val="BodyText2"/>
        <w:jc w:val="left"/>
        <w:rPr>
          <w:b w:val="0"/>
          <w:bCs w:val="0"/>
          <w:i/>
          <w:iCs/>
          <w:sz w:val="20"/>
          <w:szCs w:val="20"/>
        </w:rPr>
      </w:pPr>
      <w:r>
        <w:rPr>
          <w:sz w:val="20"/>
          <w:szCs w:val="20"/>
        </w:rPr>
        <w:t xml:space="preserve"> Source: Palestinian Central Bureau of Statistics </w:t>
      </w:r>
      <w:r w:rsidR="0020699B">
        <w:rPr>
          <w:sz w:val="20"/>
          <w:szCs w:val="20"/>
        </w:rPr>
        <w:t>2012</w:t>
      </w:r>
      <w:r>
        <w:rPr>
          <w:sz w:val="20"/>
          <w:szCs w:val="20"/>
        </w:rPr>
        <w:t>.</w:t>
      </w:r>
      <w:r>
        <w:rPr>
          <w:b w:val="0"/>
          <w:bCs w:val="0"/>
          <w:sz w:val="20"/>
          <w:szCs w:val="20"/>
        </w:rPr>
        <w:t xml:space="preserve"> </w:t>
      </w:r>
      <w:r>
        <w:rPr>
          <w:b w:val="0"/>
          <w:bCs w:val="0"/>
          <w:i/>
          <w:iCs/>
          <w:sz w:val="20"/>
          <w:szCs w:val="20"/>
        </w:rPr>
        <w:t xml:space="preserve">Education Survey Database. Ministry of Education and Higher Education. </w:t>
      </w:r>
      <w:r w:rsidRPr="00E00B3C">
        <w:rPr>
          <w:sz w:val="20"/>
          <w:szCs w:val="20"/>
        </w:rPr>
        <w:t>Ramallah-Palestine</w:t>
      </w:r>
      <w:r>
        <w:rPr>
          <w:b w:val="0"/>
          <w:bCs w:val="0"/>
          <w:i/>
          <w:iCs/>
          <w:sz w:val="20"/>
          <w:szCs w:val="20"/>
        </w:rPr>
        <w:t>.</w:t>
      </w:r>
    </w:p>
    <w:p w:rsidR="002A56A4" w:rsidRDefault="002A56A4" w:rsidP="002A56A4">
      <w:pPr>
        <w:pStyle w:val="Heading1"/>
        <w:rPr>
          <w:lang w:bidi="ar-JO"/>
        </w:rPr>
      </w:pPr>
    </w:p>
    <w:p w:rsidR="00E1307C" w:rsidRDefault="00E1307C">
      <w:pPr>
        <w:pStyle w:val="BodyText2"/>
      </w:pPr>
    </w:p>
    <w:p w:rsidR="00E1307C" w:rsidRDefault="00A65433" w:rsidP="00C35E1F">
      <w:pPr>
        <w:pStyle w:val="Heading1"/>
        <w:rPr>
          <w:lang w:bidi="ar-JO"/>
        </w:rPr>
      </w:pPr>
      <w:r>
        <w:rPr>
          <w:lang w:bidi="ar-JO"/>
        </w:rPr>
        <w:t>3.</w:t>
      </w:r>
      <w:r w:rsidR="00C35E1F">
        <w:rPr>
          <w:lang w:bidi="ar-JO"/>
        </w:rPr>
        <w:t>7</w:t>
      </w:r>
      <w:r>
        <w:rPr>
          <w:lang w:bidi="ar-JO"/>
        </w:rPr>
        <w:t xml:space="preserve"> Schools</w:t>
      </w:r>
    </w:p>
    <w:p w:rsidR="00E1307C" w:rsidRDefault="00A65433" w:rsidP="00EE2666">
      <w:pPr>
        <w:pStyle w:val="BodyText3"/>
      </w:pPr>
      <w:r>
        <w:t>The number of schools was 2,</w:t>
      </w:r>
      <w:r w:rsidR="0020699B">
        <w:t>652</w:t>
      </w:r>
      <w:r>
        <w:t xml:space="preserve"> in </w:t>
      </w:r>
      <w:r w:rsidR="0020699B">
        <w:t>2010</w:t>
      </w:r>
      <w:r>
        <w:t>/</w:t>
      </w:r>
      <w:r w:rsidR="0020699B">
        <w:t>2011</w:t>
      </w:r>
      <w:r>
        <w:t>: 1,</w:t>
      </w:r>
      <w:r w:rsidR="0020699B">
        <w:t>747</w:t>
      </w:r>
      <w:r>
        <w:t xml:space="preserve"> basic stage and </w:t>
      </w:r>
      <w:r w:rsidR="0020699B">
        <w:t>905</w:t>
      </w:r>
      <w:r>
        <w:t xml:space="preserve"> secondary schools. 74.</w:t>
      </w:r>
      <w:r w:rsidR="0020699B">
        <w:t>5</w:t>
      </w:r>
      <w:r>
        <w:t>% of schools are in the West Bank and 25.</w:t>
      </w:r>
      <w:r w:rsidR="0020699B">
        <w:t>5</w:t>
      </w:r>
      <w:r>
        <w:t xml:space="preserve">% are in Gaza Strip. </w:t>
      </w:r>
    </w:p>
    <w:p w:rsidR="00E1307C" w:rsidRDefault="00E1307C">
      <w:pPr>
        <w:rPr>
          <w:lang w:bidi="ar-JO"/>
        </w:rPr>
      </w:pPr>
    </w:p>
    <w:p w:rsidR="00E1307C" w:rsidRDefault="00A65433" w:rsidP="0020699B">
      <w:pPr>
        <w:pStyle w:val="BodyText3"/>
      </w:pPr>
      <w:r>
        <w:t>Governmental schools constituted 74.</w:t>
      </w:r>
      <w:r w:rsidR="0020699B">
        <w:t>4</w:t>
      </w:r>
      <w:r>
        <w:t xml:space="preserve">% of schools in </w:t>
      </w:r>
      <w:r w:rsidR="0020699B">
        <w:t>2010</w:t>
      </w:r>
      <w:r>
        <w:t>/</w:t>
      </w:r>
      <w:r w:rsidR="0020699B">
        <w:t>2011</w:t>
      </w:r>
      <w:r>
        <w:t xml:space="preserve">, compared to 12.6% as UNRWA-run schools , and </w:t>
      </w:r>
      <w:r w:rsidR="0020699B">
        <w:t>13.0</w:t>
      </w:r>
      <w:r>
        <w:t>% as private schools .</w:t>
      </w:r>
    </w:p>
    <w:p w:rsidR="00E1307C" w:rsidRDefault="00E1307C">
      <w:pPr>
        <w:rPr>
          <w:lang w:bidi="ar-JO"/>
        </w:rPr>
      </w:pPr>
    </w:p>
    <w:p w:rsidR="00E1307C" w:rsidRDefault="00A65433" w:rsidP="00D536C1">
      <w:pPr>
        <w:jc w:val="both"/>
        <w:rPr>
          <w:lang w:bidi="ar-JO"/>
        </w:rPr>
      </w:pPr>
      <w:r>
        <w:rPr>
          <w:lang w:bidi="ar-JO"/>
        </w:rPr>
        <w:t xml:space="preserve">The number of schools have increased since the PNA took control over education in 1994. There has been an emphasis on increasing school capacity to accommodate more students. The number of basic schools in </w:t>
      </w:r>
      <w:r w:rsidR="0020699B">
        <w:rPr>
          <w:lang w:bidi="ar-JO"/>
        </w:rPr>
        <w:t>2010</w:t>
      </w:r>
      <w:r>
        <w:rPr>
          <w:lang w:bidi="ar-JO"/>
        </w:rPr>
        <w:t>/</w:t>
      </w:r>
      <w:r w:rsidR="0020699B">
        <w:rPr>
          <w:lang w:bidi="ar-JO"/>
        </w:rPr>
        <w:t>2011</w:t>
      </w:r>
      <w:r>
        <w:rPr>
          <w:lang w:bidi="ar-JO"/>
        </w:rPr>
        <w:t xml:space="preserve"> was 1,</w:t>
      </w:r>
      <w:r w:rsidR="00D536C1">
        <w:rPr>
          <w:lang w:bidi="ar-JO"/>
        </w:rPr>
        <w:t>747</w:t>
      </w:r>
      <w:r>
        <w:rPr>
          <w:lang w:bidi="ar-JO"/>
        </w:rPr>
        <w:t xml:space="preserve">, whereas the number of schools in 1995/1996 was 1,098. The number of secondary schools in </w:t>
      </w:r>
      <w:r w:rsidR="00D536C1">
        <w:rPr>
          <w:lang w:bidi="ar-JO"/>
        </w:rPr>
        <w:t>2010</w:t>
      </w:r>
      <w:r>
        <w:rPr>
          <w:lang w:bidi="ar-JO"/>
        </w:rPr>
        <w:t>/</w:t>
      </w:r>
      <w:r w:rsidR="00D536C1">
        <w:rPr>
          <w:lang w:bidi="ar-JO"/>
        </w:rPr>
        <w:t>2011</w:t>
      </w:r>
      <w:r>
        <w:rPr>
          <w:lang w:bidi="ar-JO"/>
        </w:rPr>
        <w:t xml:space="preserve"> was </w:t>
      </w:r>
      <w:r w:rsidR="00D536C1">
        <w:rPr>
          <w:lang w:bidi="ar-JO"/>
        </w:rPr>
        <w:t>905</w:t>
      </w:r>
      <w:r>
        <w:rPr>
          <w:lang w:bidi="ar-JO"/>
        </w:rPr>
        <w:t>, whereas the number of schools in 1995/1996 was 372.</w:t>
      </w:r>
      <w:r>
        <w:rPr>
          <w:rStyle w:val="FootnoteReference"/>
          <w:lang w:bidi="ar-JO"/>
        </w:rPr>
        <w:footnoteReference w:id="3"/>
      </w:r>
    </w:p>
    <w:p w:rsidR="00D70600" w:rsidRDefault="00D70600" w:rsidP="00D536C1">
      <w:pPr>
        <w:jc w:val="both"/>
        <w:rPr>
          <w:lang w:bidi="ar-JO"/>
        </w:rPr>
      </w:pPr>
    </w:p>
    <w:p w:rsidR="00D70600" w:rsidRDefault="00D70600" w:rsidP="00FD5F27">
      <w:pPr>
        <w:pStyle w:val="Heading1"/>
        <w:rPr>
          <w:rFonts w:cs="Simplified Arabic"/>
          <w:b w:val="0"/>
          <w:bCs w:val="0"/>
        </w:rPr>
      </w:pPr>
      <w:r>
        <w:rPr>
          <w:rFonts w:cs="Simplified Arabic"/>
        </w:rPr>
        <w:t>3</w:t>
      </w:r>
      <w:r w:rsidRPr="00910404">
        <w:rPr>
          <w:rFonts w:cs="Simplified Arabic"/>
        </w:rPr>
        <w:t>.</w:t>
      </w:r>
      <w:r>
        <w:rPr>
          <w:rFonts w:cs="Simplified Arabic"/>
        </w:rPr>
        <w:t>8 S</w:t>
      </w:r>
      <w:r w:rsidRPr="00910404">
        <w:rPr>
          <w:rFonts w:cs="Simplified Arabic"/>
        </w:rPr>
        <w:t xml:space="preserve">chool </w:t>
      </w:r>
      <w:r w:rsidR="00FD5F27">
        <w:rPr>
          <w:rFonts w:cs="Simplified Arabic"/>
        </w:rPr>
        <w:t>F</w:t>
      </w:r>
      <w:r w:rsidRPr="00910404">
        <w:rPr>
          <w:rFonts w:cs="Simplified Arabic"/>
        </w:rPr>
        <w:t xml:space="preserve">acilities and </w:t>
      </w:r>
      <w:r w:rsidR="00FD5F27">
        <w:rPr>
          <w:rFonts w:cs="Simplified Arabic"/>
        </w:rPr>
        <w:t>E</w:t>
      </w:r>
      <w:r w:rsidRPr="00910404">
        <w:rPr>
          <w:rFonts w:cs="Simplified Arabic"/>
        </w:rPr>
        <w:t>ducational</w:t>
      </w:r>
      <w:r>
        <w:rPr>
          <w:rFonts w:cs="Simplified Arabic"/>
        </w:rPr>
        <w:t xml:space="preserve"> </w:t>
      </w:r>
      <w:r w:rsidR="00FD5F27">
        <w:rPr>
          <w:rFonts w:cs="Simplified Arabic"/>
        </w:rPr>
        <w:t>T</w:t>
      </w:r>
      <w:r>
        <w:rPr>
          <w:rFonts w:cs="Simplified Arabic"/>
        </w:rPr>
        <w:t>echnologies</w:t>
      </w:r>
      <w:r w:rsidRPr="00D44F45">
        <w:rPr>
          <w:rFonts w:cs="Simplified Arabic"/>
        </w:rPr>
        <w:br/>
      </w:r>
      <w:r w:rsidRPr="00D70600">
        <w:rPr>
          <w:rFonts w:cs="Simplified Arabic"/>
          <w:b w:val="0"/>
          <w:bCs w:val="0"/>
        </w:rPr>
        <w:t>The percentage of schools where there was  a special room  that was devoted to laboratory science  increased from  39.6% in 1994/1995 to 61.8% in 2010/2011. While this  percentage  increased at government schools from 40.0% in year 1994/1995 to 66.1% in 2010/2011, but at  UNRWA schools, this percentage increased  from 31.3% to 48.2% during the same period  and in private schools, it increased from 47.6% to 50.6% during same period as well.</w:t>
      </w:r>
      <w:r w:rsidRPr="00D70600">
        <w:rPr>
          <w:rFonts w:cs="Simplified Arabic"/>
          <w:b w:val="0"/>
          <w:bCs w:val="0"/>
        </w:rPr>
        <w:br/>
      </w:r>
      <w:r w:rsidRPr="00D70600">
        <w:rPr>
          <w:rFonts w:cs="Simplified Arabic"/>
          <w:b w:val="0"/>
          <w:bCs w:val="0"/>
        </w:rPr>
        <w:br/>
        <w:t>As for school  libraries</w:t>
      </w:r>
      <w:r>
        <w:rPr>
          <w:rFonts w:cs="Simplified Arabic"/>
          <w:b w:val="0"/>
          <w:bCs w:val="0"/>
        </w:rPr>
        <w:t>,</w:t>
      </w:r>
      <w:r w:rsidRPr="00D70600">
        <w:rPr>
          <w:rFonts w:cs="Simplified Arabic"/>
          <w:b w:val="0"/>
          <w:bCs w:val="0"/>
        </w:rPr>
        <w:t xml:space="preserve"> the percentage of schools,  where there was a special room that  was dedicated to school  library, increased  from 24.4% in 1994/1995 to 68.7% in the</w:t>
      </w:r>
      <w:r>
        <w:rPr>
          <w:rFonts w:cs="Simplified Arabic"/>
          <w:b w:val="0"/>
          <w:bCs w:val="0"/>
        </w:rPr>
        <w:t xml:space="preserve"> year </w:t>
      </w:r>
      <w:r w:rsidRPr="00D70600">
        <w:rPr>
          <w:rFonts w:cs="Simplified Arabic"/>
          <w:b w:val="0"/>
          <w:bCs w:val="0"/>
        </w:rPr>
        <w:t xml:space="preserve">of 2010/2011whereas  it increased </w:t>
      </w:r>
      <w:r>
        <w:rPr>
          <w:rFonts w:cs="Simplified Arabic"/>
          <w:b w:val="0"/>
          <w:bCs w:val="0"/>
        </w:rPr>
        <w:t>from 28.0% in the year</w:t>
      </w:r>
      <w:r w:rsidRPr="00D70600">
        <w:rPr>
          <w:rFonts w:cs="Simplified Arabic"/>
          <w:b w:val="0"/>
          <w:bCs w:val="0"/>
        </w:rPr>
        <w:t xml:space="preserve"> of </w:t>
      </w:r>
      <w:r>
        <w:rPr>
          <w:rFonts w:cs="Simplified Arabic"/>
          <w:b w:val="0"/>
          <w:bCs w:val="0"/>
        </w:rPr>
        <w:t>1995/1996 to 72.4% in 2010/</w:t>
      </w:r>
      <w:r w:rsidRPr="00D70600">
        <w:rPr>
          <w:rFonts w:cs="Simplified Arabic"/>
          <w:b w:val="0"/>
          <w:bCs w:val="0"/>
        </w:rPr>
        <w:t xml:space="preserve">2011 </w:t>
      </w:r>
      <w:r w:rsidRPr="00D70600">
        <w:rPr>
          <w:rFonts w:cs="Simplified Arabic"/>
          <w:b w:val="0"/>
          <w:bCs w:val="0"/>
        </w:rPr>
        <w:lastRenderedPageBreak/>
        <w:t>at  government schools and  from 26.6% to 61.0% for the same period at UNRWA schools and  from 38.4% to 54.7% at private schools for the same period as well.</w:t>
      </w:r>
    </w:p>
    <w:p w:rsidR="00E1307C" w:rsidRDefault="00D70600" w:rsidP="00D70600">
      <w:pPr>
        <w:pStyle w:val="Heading1"/>
        <w:rPr>
          <w:lang w:bidi="ar-JO"/>
        </w:rPr>
      </w:pPr>
      <w:r w:rsidRPr="00D70600">
        <w:rPr>
          <w:rFonts w:cs="Simplified Arabic"/>
          <w:b w:val="0"/>
          <w:bCs w:val="0"/>
        </w:rPr>
        <w:br/>
        <w:t>For computer labs, percentages of schools  where there is a room devoted to computer  labs increased from 3.5% in 1994/1995 to 68.9% in 2010/2011, whereas it increased  from 3.0</w:t>
      </w:r>
      <w:r>
        <w:rPr>
          <w:rFonts w:cs="Simplified Arabic"/>
          <w:b w:val="0"/>
          <w:bCs w:val="0"/>
        </w:rPr>
        <w:t>% in 1994/1995 to 68.7% in 2010/</w:t>
      </w:r>
      <w:r w:rsidRPr="00D70600">
        <w:rPr>
          <w:rFonts w:cs="Simplified Arabic"/>
          <w:b w:val="0"/>
          <w:bCs w:val="0"/>
        </w:rPr>
        <w:t>2011 at government schools  while  in UNRWA schools, there was no computer laboratories in the year  of</w:t>
      </w:r>
      <w:r>
        <w:rPr>
          <w:rFonts w:cs="Simplified Arabic"/>
          <w:b w:val="0"/>
          <w:bCs w:val="0"/>
        </w:rPr>
        <w:t xml:space="preserve"> </w:t>
      </w:r>
      <w:r w:rsidRPr="00D70600">
        <w:rPr>
          <w:rFonts w:cs="Simplified Arabic"/>
          <w:b w:val="0"/>
          <w:bCs w:val="0"/>
        </w:rPr>
        <w:t>1994/1995, but in the year of 2010/201</w:t>
      </w:r>
      <w:r>
        <w:rPr>
          <w:rFonts w:cs="Simplified Arabic"/>
          <w:b w:val="0"/>
          <w:bCs w:val="0"/>
        </w:rPr>
        <w:t>1</w:t>
      </w:r>
      <w:r w:rsidRPr="00D70600">
        <w:rPr>
          <w:rFonts w:cs="Simplified Arabic"/>
          <w:b w:val="0"/>
          <w:bCs w:val="0"/>
        </w:rPr>
        <w:t>, there was computer labs at UNRWA schools  by 74.4</w:t>
      </w:r>
      <w:r>
        <w:rPr>
          <w:rFonts w:cs="Simplified Arabic"/>
          <w:b w:val="0"/>
          <w:bCs w:val="0"/>
        </w:rPr>
        <w:t>%</w:t>
      </w:r>
      <w:r w:rsidRPr="00D70600">
        <w:rPr>
          <w:rFonts w:cs="Simplified Arabic"/>
          <w:b w:val="0"/>
          <w:bCs w:val="0"/>
        </w:rPr>
        <w:t>, while it increased  at private schools from 13.6% in  1994/1995 to 68.4% in 2010/2011.</w:t>
      </w:r>
      <w:r w:rsidRPr="00D70600">
        <w:rPr>
          <w:rFonts w:cs="Simplified Arabic"/>
          <w:b w:val="0"/>
          <w:bCs w:val="0"/>
        </w:rPr>
        <w:br/>
      </w:r>
    </w:p>
    <w:p w:rsidR="00E1307C" w:rsidRDefault="00A65433" w:rsidP="00810960">
      <w:pPr>
        <w:jc w:val="both"/>
        <w:rPr>
          <w:b/>
          <w:bCs/>
          <w:lang w:bidi="ar-JO"/>
        </w:rPr>
      </w:pPr>
      <w:r>
        <w:rPr>
          <w:b/>
          <w:bCs/>
          <w:lang w:bidi="ar-JO"/>
        </w:rPr>
        <w:t>3.</w:t>
      </w:r>
      <w:r w:rsidR="00810960">
        <w:rPr>
          <w:b/>
          <w:bCs/>
          <w:lang w:bidi="ar-JO"/>
        </w:rPr>
        <w:t>9</w:t>
      </w:r>
      <w:r>
        <w:rPr>
          <w:b/>
          <w:bCs/>
          <w:lang w:bidi="ar-JO"/>
        </w:rPr>
        <w:t xml:space="preserve"> Crowdedness Rate</w:t>
      </w:r>
    </w:p>
    <w:p w:rsidR="00E1307C" w:rsidRDefault="00A65433" w:rsidP="00D536C1">
      <w:pPr>
        <w:pStyle w:val="BodyTextIndent"/>
        <w:tabs>
          <w:tab w:val="num" w:pos="1260"/>
        </w:tabs>
        <w:jc w:val="lowKashida"/>
      </w:pPr>
      <w:r>
        <w:t xml:space="preserve">Classroom density (number of students per classroom) is a good indicator of having the right educational environment. The average number of students per classroom in the scholastic year </w:t>
      </w:r>
      <w:r w:rsidR="00D536C1">
        <w:t>2010</w:t>
      </w:r>
      <w:r>
        <w:t>/</w:t>
      </w:r>
      <w:r w:rsidR="00D536C1">
        <w:t>2011</w:t>
      </w:r>
      <w:r>
        <w:t xml:space="preserve"> was 3</w:t>
      </w:r>
      <w:r w:rsidR="00D536C1">
        <w:t>1</w:t>
      </w:r>
      <w:r>
        <w:t>.</w:t>
      </w:r>
      <w:r w:rsidR="00D536C1">
        <w:t xml:space="preserve">2 </w:t>
      </w:r>
      <w:r>
        <w:t xml:space="preserve">at basic stage and </w:t>
      </w:r>
      <w:r w:rsidR="00D536C1">
        <w:t>28</w:t>
      </w:r>
      <w:r>
        <w:t>.</w:t>
      </w:r>
      <w:r w:rsidR="00D536C1">
        <w:t xml:space="preserve">0 </w:t>
      </w:r>
      <w:r>
        <w:t>at secondary stage.</w:t>
      </w:r>
    </w:p>
    <w:p w:rsidR="00E1307C" w:rsidRDefault="00E1307C">
      <w:pPr>
        <w:pStyle w:val="BodyTextIndent"/>
        <w:tabs>
          <w:tab w:val="num" w:pos="1260"/>
        </w:tabs>
        <w:jc w:val="center"/>
      </w:pPr>
    </w:p>
    <w:p w:rsidR="00700C0A" w:rsidRDefault="00700C0A" w:rsidP="00011E2F">
      <w:pPr>
        <w:pStyle w:val="BodyTextIndent"/>
        <w:tabs>
          <w:tab w:val="num" w:pos="1260"/>
        </w:tabs>
        <w:jc w:val="center"/>
        <w:rPr>
          <w:b/>
          <w:bCs/>
          <w:szCs w:val="24"/>
        </w:rPr>
      </w:pPr>
    </w:p>
    <w:p w:rsidR="00E1307C" w:rsidRPr="00744C3B" w:rsidRDefault="00A65433" w:rsidP="00011E2F">
      <w:pPr>
        <w:pStyle w:val="BodyTextIndent"/>
        <w:tabs>
          <w:tab w:val="num" w:pos="1260"/>
        </w:tabs>
        <w:jc w:val="center"/>
        <w:rPr>
          <w:b/>
          <w:bCs/>
          <w:sz w:val="22"/>
          <w:szCs w:val="22"/>
        </w:rPr>
      </w:pPr>
      <w:r w:rsidRPr="00744C3B">
        <w:rPr>
          <w:b/>
          <w:bCs/>
          <w:sz w:val="22"/>
          <w:szCs w:val="22"/>
        </w:rPr>
        <w:t xml:space="preserve"> Figure(3-</w:t>
      </w:r>
      <w:r w:rsidR="00011E2F" w:rsidRPr="00744C3B">
        <w:rPr>
          <w:b/>
          <w:bCs/>
          <w:sz w:val="22"/>
          <w:szCs w:val="22"/>
        </w:rPr>
        <w:t>5</w:t>
      </w:r>
      <w:r w:rsidRPr="00744C3B">
        <w:rPr>
          <w:b/>
          <w:bCs/>
          <w:sz w:val="22"/>
          <w:szCs w:val="22"/>
        </w:rPr>
        <w:t>):</w:t>
      </w:r>
      <w:r w:rsidR="00700C0A" w:rsidRPr="00744C3B">
        <w:rPr>
          <w:b/>
          <w:bCs/>
          <w:sz w:val="22"/>
          <w:szCs w:val="22"/>
        </w:rPr>
        <w:t xml:space="preserve"> </w:t>
      </w:r>
      <w:r w:rsidRPr="00744C3B">
        <w:rPr>
          <w:b/>
          <w:bCs/>
          <w:sz w:val="22"/>
          <w:szCs w:val="22"/>
        </w:rPr>
        <w:t>Students per class by stage and selected  scholastic years</w:t>
      </w:r>
    </w:p>
    <w:tbl>
      <w:tblPr>
        <w:tblW w:w="0" w:type="auto"/>
        <w:jc w:val="center"/>
        <w:tblLook w:val="0000"/>
      </w:tblPr>
      <w:tblGrid>
        <w:gridCol w:w="9286"/>
      </w:tblGrid>
      <w:tr w:rsidR="00E1307C">
        <w:trPr>
          <w:jc w:val="center"/>
        </w:trPr>
        <w:tc>
          <w:tcPr>
            <w:tcW w:w="9286" w:type="dxa"/>
          </w:tcPr>
          <w:p w:rsidR="00E1307C" w:rsidRPr="00D90F1D" w:rsidRDefault="00785EF4">
            <w:pPr>
              <w:pStyle w:val="BodyTextIndent"/>
              <w:tabs>
                <w:tab w:val="num" w:pos="1260"/>
              </w:tabs>
              <w:ind w:left="0"/>
              <w:jc w:val="both"/>
              <w:rPr>
                <w:sz w:val="2"/>
                <w:szCs w:val="4"/>
              </w:rPr>
            </w:pPr>
            <w:r>
              <w:rPr>
                <w:noProof/>
                <w:sz w:val="20"/>
              </w:rPr>
              <w:drawing>
                <wp:anchor distT="0" distB="0" distL="114300" distR="114300" simplePos="0" relativeHeight="251658752" behindDoc="0" locked="0" layoutInCell="1" allowOverlap="1">
                  <wp:simplePos x="0" y="0"/>
                  <wp:positionH relativeFrom="column">
                    <wp:posOffset>76200</wp:posOffset>
                  </wp:positionH>
                  <wp:positionV relativeFrom="paragraph">
                    <wp:posOffset>-3661410</wp:posOffset>
                  </wp:positionV>
                  <wp:extent cx="5709285" cy="3303905"/>
                  <wp:effectExtent l="19050" t="0" r="24765" b="0"/>
                  <wp:wrapTopAndBottom/>
                  <wp:docPr id="59" name="Object 5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E1307C" w:rsidRPr="00E00B3C" w:rsidRDefault="00A65433" w:rsidP="00D90F1D">
      <w:pPr>
        <w:pStyle w:val="BodyText2"/>
        <w:ind w:left="142"/>
        <w:jc w:val="left"/>
        <w:rPr>
          <w:i/>
          <w:iCs/>
          <w:sz w:val="20"/>
          <w:szCs w:val="20"/>
        </w:rPr>
      </w:pPr>
      <w:r>
        <w:rPr>
          <w:sz w:val="20"/>
          <w:szCs w:val="20"/>
        </w:rPr>
        <w:t xml:space="preserve">Source: Palestinian Central Bureau of Statistics </w:t>
      </w:r>
      <w:r w:rsidR="00D536C1">
        <w:rPr>
          <w:sz w:val="20"/>
          <w:szCs w:val="20"/>
        </w:rPr>
        <w:t>2012</w:t>
      </w:r>
      <w:r>
        <w:rPr>
          <w:sz w:val="20"/>
          <w:szCs w:val="20"/>
        </w:rPr>
        <w:t>.</w:t>
      </w:r>
      <w:r>
        <w:rPr>
          <w:b w:val="0"/>
          <w:bCs w:val="0"/>
          <w:sz w:val="20"/>
          <w:szCs w:val="20"/>
        </w:rPr>
        <w:t xml:space="preserve"> </w:t>
      </w:r>
      <w:r w:rsidR="00D536C1">
        <w:rPr>
          <w:b w:val="0"/>
          <w:bCs w:val="0"/>
          <w:i/>
          <w:iCs/>
          <w:sz w:val="20"/>
          <w:szCs w:val="20"/>
        </w:rPr>
        <w:t xml:space="preserve"> </w:t>
      </w:r>
      <w:r>
        <w:rPr>
          <w:b w:val="0"/>
          <w:bCs w:val="0"/>
          <w:i/>
          <w:iCs/>
          <w:sz w:val="20"/>
          <w:szCs w:val="20"/>
        </w:rPr>
        <w:t xml:space="preserve">Education Survey Database. Ministry of Education and Higher Education. </w:t>
      </w:r>
      <w:r w:rsidRPr="00E00B3C">
        <w:rPr>
          <w:sz w:val="20"/>
          <w:szCs w:val="20"/>
        </w:rPr>
        <w:t>Ramallah-Palestine</w:t>
      </w:r>
      <w:r w:rsidRPr="00E00B3C">
        <w:rPr>
          <w:i/>
          <w:iCs/>
          <w:sz w:val="20"/>
          <w:szCs w:val="20"/>
        </w:rPr>
        <w:t>.</w:t>
      </w:r>
    </w:p>
    <w:p w:rsidR="00E1307C" w:rsidRPr="00E00B3C" w:rsidRDefault="00E1307C">
      <w:pPr>
        <w:pStyle w:val="BodyTextIndent"/>
        <w:tabs>
          <w:tab w:val="num" w:pos="1260"/>
        </w:tabs>
        <w:jc w:val="both"/>
        <w:rPr>
          <w:b/>
          <w:bCs/>
        </w:rPr>
      </w:pPr>
    </w:p>
    <w:p w:rsidR="00E1307C" w:rsidRDefault="00A65433" w:rsidP="000D0E11">
      <w:pPr>
        <w:pStyle w:val="BodyTextIndent"/>
        <w:tabs>
          <w:tab w:val="num" w:pos="1260"/>
        </w:tabs>
        <w:jc w:val="lowKashida"/>
      </w:pPr>
      <w:r>
        <w:t xml:space="preserve">Comparing classroom density according to region, it is noticed that classroom density in basic </w:t>
      </w:r>
      <w:r w:rsidR="003733E4">
        <w:t xml:space="preserve">schooling  </w:t>
      </w:r>
      <w:r>
        <w:t>schools is higher in Gaza Strip than in the West Bank (36.</w:t>
      </w:r>
      <w:r w:rsidR="00D536C1">
        <w:t>0</w:t>
      </w:r>
      <w:r>
        <w:t xml:space="preserve"> students per classroom in Gaza Strip and 2</w:t>
      </w:r>
      <w:r w:rsidR="00D536C1">
        <w:t>8</w:t>
      </w:r>
      <w:r>
        <w:t>.</w:t>
      </w:r>
      <w:r w:rsidR="00D536C1">
        <w:t>6</w:t>
      </w:r>
      <w:r>
        <w:t xml:space="preserve"> students per classroom in the West Bank in </w:t>
      </w:r>
      <w:r w:rsidR="00D536C1">
        <w:t>2010</w:t>
      </w:r>
      <w:r>
        <w:t>/</w:t>
      </w:r>
      <w:r w:rsidR="00D536C1">
        <w:t>2011</w:t>
      </w:r>
      <w:r>
        <w:t>). At the secondary</w:t>
      </w:r>
      <w:r w:rsidR="003733E4">
        <w:t xml:space="preserve"> schooling</w:t>
      </w:r>
      <w:r>
        <w:t xml:space="preserve"> stage, class density was 3</w:t>
      </w:r>
      <w:r w:rsidR="00D536C1">
        <w:t>6</w:t>
      </w:r>
      <w:r>
        <w:t>.</w:t>
      </w:r>
      <w:r w:rsidR="00D536C1">
        <w:t>4</w:t>
      </w:r>
      <w:r>
        <w:t xml:space="preserve"> in Gaza Strip and 2</w:t>
      </w:r>
      <w:r w:rsidR="00D536C1">
        <w:t>4</w:t>
      </w:r>
      <w:r>
        <w:t>.</w:t>
      </w:r>
      <w:r w:rsidR="00D536C1">
        <w:t>3</w:t>
      </w:r>
      <w:r>
        <w:t xml:space="preserve"> in the West Bank in </w:t>
      </w:r>
      <w:r w:rsidR="00D536C1">
        <w:t>2010</w:t>
      </w:r>
      <w:r>
        <w:t>/</w:t>
      </w:r>
      <w:r w:rsidR="000D0E11">
        <w:t>2011</w:t>
      </w:r>
      <w:r>
        <w:t xml:space="preserve">. </w:t>
      </w:r>
    </w:p>
    <w:p w:rsidR="00E1307C" w:rsidRDefault="00E1307C">
      <w:pPr>
        <w:pStyle w:val="BodyTextIndent"/>
        <w:tabs>
          <w:tab w:val="num" w:pos="1260"/>
        </w:tabs>
      </w:pPr>
    </w:p>
    <w:p w:rsidR="00E1307C" w:rsidRDefault="00A65433" w:rsidP="000D0E11">
      <w:pPr>
        <w:pStyle w:val="BodyTextIndent"/>
        <w:tabs>
          <w:tab w:val="num" w:pos="1260"/>
        </w:tabs>
        <w:jc w:val="both"/>
      </w:pPr>
      <w:r>
        <w:t xml:space="preserve">The case worsens at UNRWA schools where classroom density in the basic </w:t>
      </w:r>
      <w:r w:rsidR="00963829">
        <w:t xml:space="preserve">schooling </w:t>
      </w:r>
      <w:r>
        <w:t>stage was 3</w:t>
      </w:r>
      <w:r w:rsidR="000D0E11">
        <w:t>6</w:t>
      </w:r>
      <w:r>
        <w:t xml:space="preserve">.0 compared with </w:t>
      </w:r>
      <w:r w:rsidR="000D0E11">
        <w:t>30</w:t>
      </w:r>
      <w:r>
        <w:t>.</w:t>
      </w:r>
      <w:r w:rsidR="000D0E11">
        <w:t>8</w:t>
      </w:r>
      <w:r>
        <w:t xml:space="preserve"> students at governmental schools. However, the figure for private schools was 2</w:t>
      </w:r>
      <w:r w:rsidR="000D0E11">
        <w:t>3</w:t>
      </w:r>
      <w:r>
        <w:t>.</w:t>
      </w:r>
      <w:r w:rsidR="000D0E11">
        <w:t>7</w:t>
      </w:r>
      <w:r>
        <w:t xml:space="preserve"> students per classroom in </w:t>
      </w:r>
      <w:r w:rsidR="000D0E11">
        <w:t>2010</w:t>
      </w:r>
      <w:r>
        <w:t>/</w:t>
      </w:r>
      <w:r w:rsidR="000D0E11">
        <w:t>2011</w:t>
      </w:r>
      <w:r>
        <w:t xml:space="preserve"> (UNRWA does not provide secondary stage education). </w:t>
      </w:r>
    </w:p>
    <w:p w:rsidR="00E1307C" w:rsidRDefault="00E1307C">
      <w:pPr>
        <w:pStyle w:val="BodyTextIndent"/>
        <w:tabs>
          <w:tab w:val="num" w:pos="1260"/>
        </w:tabs>
        <w:jc w:val="both"/>
      </w:pPr>
    </w:p>
    <w:p w:rsidR="00810960" w:rsidRDefault="00810960" w:rsidP="00810960">
      <w:pPr>
        <w:pStyle w:val="Heading3"/>
        <w:rPr>
          <w:color w:val="auto"/>
        </w:rPr>
      </w:pPr>
      <w:r>
        <w:rPr>
          <w:color w:val="auto"/>
        </w:rPr>
        <w:lastRenderedPageBreak/>
        <w:t>3.10 Teachers</w:t>
      </w:r>
    </w:p>
    <w:p w:rsidR="00810960" w:rsidRDefault="00810960" w:rsidP="00810960">
      <w:pPr>
        <w:pStyle w:val="BodyTextIndent"/>
        <w:tabs>
          <w:tab w:val="num" w:pos="1260"/>
        </w:tabs>
        <w:ind w:left="0"/>
        <w:jc w:val="both"/>
      </w:pPr>
      <w:r>
        <w:t xml:space="preserve">The number of teachers in schools reached 50,468 in the scholastic year 2010/2011 (21,156 male teachers and 29,312 female teachers). </w:t>
      </w:r>
    </w:p>
    <w:p w:rsidR="00810960" w:rsidRDefault="00810960" w:rsidP="00810960">
      <w:pPr>
        <w:pStyle w:val="BodyTextIndent"/>
        <w:tabs>
          <w:tab w:val="num" w:pos="1260"/>
        </w:tabs>
        <w:ind w:left="0"/>
      </w:pPr>
    </w:p>
    <w:p w:rsidR="00810960" w:rsidRDefault="008C7B34" w:rsidP="008C7B34">
      <w:pPr>
        <w:pStyle w:val="BodyTextIndent"/>
        <w:tabs>
          <w:tab w:val="num" w:pos="1260"/>
        </w:tabs>
        <w:ind w:left="0"/>
        <w:jc w:val="both"/>
      </w:pPr>
      <w:r>
        <w:t>71.1</w:t>
      </w:r>
      <w:r w:rsidR="00810960">
        <w:t>% of teachers teach at governmental schools, 18.1% teach at UNRWA schools, 10.8% teach at private schools.</w:t>
      </w:r>
    </w:p>
    <w:p w:rsidR="00810960" w:rsidRDefault="00810960" w:rsidP="00810960">
      <w:pPr>
        <w:pStyle w:val="BodyTextIndent"/>
        <w:tabs>
          <w:tab w:val="num" w:pos="1260"/>
        </w:tabs>
        <w:ind w:left="0"/>
      </w:pPr>
    </w:p>
    <w:p w:rsidR="00810960" w:rsidRDefault="00810960" w:rsidP="00810960">
      <w:pPr>
        <w:pStyle w:val="BodyText3"/>
        <w:rPr>
          <w:lang w:bidi="ar-SA"/>
        </w:rPr>
      </w:pPr>
      <w:r>
        <w:rPr>
          <w:lang w:bidi="ar-SA"/>
        </w:rPr>
        <w:t xml:space="preserve">The number of students per teacher at </w:t>
      </w:r>
      <w:r>
        <w:t>governmental</w:t>
      </w:r>
      <w:r>
        <w:rPr>
          <w:lang w:bidi="ar-SA"/>
        </w:rPr>
        <w:t xml:space="preserve"> schools was 21.4 in 2010/2011; in UNRWA schools, the figure was 28.7, while in private schools it was 16.3.</w:t>
      </w:r>
    </w:p>
    <w:p w:rsidR="00810960" w:rsidRDefault="00810960" w:rsidP="00810960"/>
    <w:p w:rsidR="00E1307C" w:rsidRDefault="00E1307C"/>
    <w:p w:rsidR="00810960" w:rsidRDefault="00810960"/>
    <w:p w:rsidR="00E1307C" w:rsidRDefault="00E1307C"/>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700C0A" w:rsidRDefault="00700C0A"/>
    <w:p w:rsidR="00E1307C" w:rsidRDefault="00E1307C"/>
    <w:p w:rsidR="00E1307C" w:rsidRDefault="00A65433">
      <w:pPr>
        <w:pStyle w:val="Heading1"/>
      </w:pPr>
      <w:r>
        <w:lastRenderedPageBreak/>
        <w:t>References</w:t>
      </w:r>
    </w:p>
    <w:p w:rsidR="00E1307C" w:rsidRDefault="00E1307C"/>
    <w:p w:rsidR="00E1307C" w:rsidRPr="00E00B3C" w:rsidRDefault="00A65433" w:rsidP="00E00B3C">
      <w:pPr>
        <w:numPr>
          <w:ilvl w:val="0"/>
          <w:numId w:val="3"/>
        </w:numPr>
        <w:tabs>
          <w:tab w:val="right" w:pos="9070"/>
        </w:tabs>
        <w:ind w:right="-2"/>
        <w:jc w:val="mediumKashida"/>
        <w:rPr>
          <w:b/>
          <w:bCs/>
        </w:rPr>
      </w:pPr>
      <w:r>
        <w:rPr>
          <w:b/>
          <w:bCs/>
        </w:rPr>
        <w:t xml:space="preserve">Palestinian Central Bureau of Statistics, </w:t>
      </w:r>
      <w:r w:rsidR="00810960">
        <w:rPr>
          <w:b/>
          <w:bCs/>
        </w:rPr>
        <w:t>2012</w:t>
      </w:r>
      <w:r>
        <w:t>. Education Census database-selected years</w:t>
      </w:r>
      <w:r>
        <w:rPr>
          <w:i/>
          <w:iCs/>
        </w:rPr>
        <w:t xml:space="preserve">. </w:t>
      </w:r>
      <w:r>
        <w:t xml:space="preserve">Ministry of Education and Higher Education (unpublished data).  </w:t>
      </w:r>
      <w:r w:rsidRPr="00E00B3C">
        <w:rPr>
          <w:b/>
          <w:bCs/>
        </w:rPr>
        <w:t>Ramallah-Palestine.</w:t>
      </w:r>
    </w:p>
    <w:p w:rsidR="00E1307C" w:rsidRDefault="00A65433" w:rsidP="00E00B3C">
      <w:pPr>
        <w:tabs>
          <w:tab w:val="right" w:pos="9072"/>
        </w:tabs>
        <w:ind w:left="360" w:right="-2"/>
        <w:jc w:val="lowKashida"/>
      </w:pPr>
      <w:r>
        <w:t>-------------------------------------------------------------------------------------------------</w:t>
      </w:r>
    </w:p>
    <w:p w:rsidR="00E1307C" w:rsidRDefault="00E1307C" w:rsidP="00E00B3C">
      <w:pPr>
        <w:ind w:right="360"/>
        <w:jc w:val="lowKashida"/>
      </w:pPr>
    </w:p>
    <w:p w:rsidR="00E1307C" w:rsidRDefault="00A65433">
      <w:pPr>
        <w:numPr>
          <w:ilvl w:val="0"/>
          <w:numId w:val="3"/>
        </w:numPr>
        <w:jc w:val="lowKashida"/>
      </w:pPr>
      <w:r>
        <w:rPr>
          <w:b/>
          <w:bCs/>
        </w:rPr>
        <w:t>Ministry of Education</w:t>
      </w:r>
      <w:r>
        <w:t xml:space="preserve">, </w:t>
      </w:r>
      <w:r>
        <w:rPr>
          <w:b/>
          <w:bCs/>
        </w:rPr>
        <w:t>2000</w:t>
      </w:r>
      <w:r>
        <w:t xml:space="preserve">. </w:t>
      </w:r>
      <w:r>
        <w:rPr>
          <w:i/>
          <w:iCs/>
        </w:rPr>
        <w:t>The Annual Statistical Educational Book, 1999/2000</w:t>
      </w:r>
      <w:r>
        <w:t xml:space="preserve">, Number (6). </w:t>
      </w:r>
      <w:r w:rsidRPr="00E00B3C">
        <w:rPr>
          <w:b/>
          <w:bCs/>
        </w:rPr>
        <w:t>Ramallah-Palestine</w:t>
      </w:r>
      <w:r>
        <w:t>.</w:t>
      </w:r>
    </w:p>
    <w:p w:rsidR="00E1307C" w:rsidRDefault="00A65433" w:rsidP="00E00B3C">
      <w:pPr>
        <w:ind w:left="360" w:right="-2"/>
        <w:jc w:val="lowKashida"/>
      </w:pPr>
      <w:r>
        <w:rPr>
          <w:b/>
          <w:bCs/>
        </w:rPr>
        <w:t>--------------------------------------------------------------------------------------------------------</w:t>
      </w:r>
    </w:p>
    <w:p w:rsidR="00E1307C" w:rsidRDefault="00E1307C">
      <w:pPr>
        <w:pStyle w:val="Footer"/>
        <w:tabs>
          <w:tab w:val="clear" w:pos="4153"/>
          <w:tab w:val="clear" w:pos="8306"/>
        </w:tabs>
      </w:pPr>
    </w:p>
    <w:p w:rsidR="00E1307C" w:rsidRDefault="00A65433">
      <w:pPr>
        <w:numPr>
          <w:ilvl w:val="0"/>
          <w:numId w:val="3"/>
        </w:numPr>
        <w:jc w:val="lowKashida"/>
      </w:pPr>
      <w:r>
        <w:rPr>
          <w:b/>
          <w:bCs/>
        </w:rPr>
        <w:t>Ministry of Education, 2001</w:t>
      </w:r>
      <w:r>
        <w:t xml:space="preserve">. </w:t>
      </w:r>
      <w:r>
        <w:rPr>
          <w:i/>
          <w:iCs/>
        </w:rPr>
        <w:t>The Five Year Plan for Education in Palestine (2001-</w:t>
      </w:r>
      <w:r>
        <w:t xml:space="preserve">2005). </w:t>
      </w:r>
      <w:r w:rsidRPr="00E00B3C">
        <w:rPr>
          <w:b/>
          <w:bCs/>
        </w:rPr>
        <w:t>Ramallah-Palestine</w:t>
      </w:r>
      <w:r>
        <w:t>.</w:t>
      </w:r>
    </w:p>
    <w:p w:rsidR="00E1307C" w:rsidRDefault="00A65433" w:rsidP="00E00B3C">
      <w:pPr>
        <w:ind w:left="360" w:right="360"/>
        <w:jc w:val="lowKashida"/>
      </w:pPr>
      <w:r>
        <w:t>-------------------------------------------------------------------------------------------</w:t>
      </w:r>
    </w:p>
    <w:p w:rsidR="00E1307C" w:rsidRPr="00213053" w:rsidRDefault="00A65433">
      <w:pPr>
        <w:numPr>
          <w:ilvl w:val="0"/>
          <w:numId w:val="3"/>
        </w:numPr>
        <w:jc w:val="lowKashida"/>
        <w:rPr>
          <w:b/>
          <w:bCs/>
        </w:rPr>
      </w:pPr>
      <w:r>
        <w:rPr>
          <w:b/>
          <w:bCs/>
        </w:rPr>
        <w:t>Ministry of Education, 2000</w:t>
      </w:r>
      <w:r>
        <w:t xml:space="preserve">. </w:t>
      </w:r>
      <w:r>
        <w:rPr>
          <w:i/>
          <w:iCs/>
        </w:rPr>
        <w:t>Window on Education in Palestine.</w:t>
      </w:r>
      <w:r>
        <w:t xml:space="preserve"> </w:t>
      </w:r>
      <w:r w:rsidRPr="00213053">
        <w:rPr>
          <w:b/>
          <w:bCs/>
        </w:rPr>
        <w:t>Ramallah-Palestine.</w:t>
      </w:r>
    </w:p>
    <w:p w:rsidR="00E1307C" w:rsidRDefault="00A65433">
      <w:pPr>
        <w:ind w:left="360" w:right="360"/>
        <w:jc w:val="lowKashida"/>
      </w:pPr>
      <w:r>
        <w:t>--------------------------------------------------------------------------------------------------</w:t>
      </w:r>
    </w:p>
    <w:p w:rsidR="00E1307C" w:rsidRDefault="00E1307C">
      <w:pPr>
        <w:rPr>
          <w:sz w:val="16"/>
          <w:szCs w:val="16"/>
        </w:rPr>
      </w:pPr>
    </w:p>
    <w:p w:rsidR="00E1307C" w:rsidRDefault="00A65433">
      <w:pPr>
        <w:numPr>
          <w:ilvl w:val="0"/>
          <w:numId w:val="3"/>
        </w:numPr>
        <w:jc w:val="lowKashida"/>
      </w:pPr>
      <w:r>
        <w:rPr>
          <w:b/>
          <w:bCs/>
        </w:rPr>
        <w:t>Palestinian Central Bureau of Statistics, 1999</w:t>
      </w:r>
      <w:r>
        <w:t xml:space="preserve">. </w:t>
      </w:r>
      <w:r>
        <w:rPr>
          <w:i/>
          <w:iCs/>
        </w:rPr>
        <w:t>Teaching Indicators 1994/1995-1998/1999</w:t>
      </w:r>
      <w:r>
        <w:t xml:space="preserve">, </w:t>
      </w:r>
      <w:r w:rsidRPr="00E00B3C">
        <w:rPr>
          <w:b/>
          <w:bCs/>
        </w:rPr>
        <w:t>Ramallah-Palestine</w:t>
      </w:r>
      <w:r>
        <w:t>.</w:t>
      </w:r>
    </w:p>
    <w:p w:rsidR="00E1307C" w:rsidRDefault="00A65433" w:rsidP="00E00B3C">
      <w:pPr>
        <w:ind w:left="360" w:right="-2"/>
        <w:jc w:val="lowKashida"/>
      </w:pPr>
      <w:r>
        <w:t>--------------------------------------------------------------------------------------------------------</w:t>
      </w:r>
    </w:p>
    <w:p w:rsidR="00E1307C" w:rsidRDefault="00E1307C">
      <w:pPr>
        <w:ind w:left="360" w:right="360"/>
        <w:jc w:val="lowKashida"/>
      </w:pPr>
    </w:p>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A65433">
      <w:r>
        <w:t xml:space="preserve">  </w:t>
      </w:r>
      <w:r>
        <w:rPr>
          <w:rtl/>
        </w:rPr>
        <w:t xml:space="preserve"> </w:t>
      </w:r>
    </w:p>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p w:rsidR="00E1307C" w:rsidRDefault="00E1307C"/>
    <w:sectPr w:rsidR="00E1307C" w:rsidSect="00A02506">
      <w:headerReference w:type="default" r:id="rId12"/>
      <w:footerReference w:type="even" r:id="rId13"/>
      <w:footerReference w:type="default" r:id="rId14"/>
      <w:pgSz w:w="11906" w:h="16838"/>
      <w:pgMar w:top="1418" w:right="1418" w:bottom="1418" w:left="1418" w:header="709" w:footer="709"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0BC" w:rsidRDefault="001B50BC">
      <w:r>
        <w:separator/>
      </w:r>
    </w:p>
  </w:endnote>
  <w:endnote w:type="continuationSeparator" w:id="0">
    <w:p w:rsidR="001B50BC" w:rsidRDefault="001B50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07C" w:rsidRDefault="009202EE">
    <w:pPr>
      <w:pStyle w:val="Footer"/>
      <w:framePr w:wrap="around" w:vAnchor="text" w:hAnchor="margin" w:xAlign="center" w:y="1"/>
      <w:rPr>
        <w:rStyle w:val="PageNumber"/>
      </w:rPr>
    </w:pPr>
    <w:r>
      <w:rPr>
        <w:rStyle w:val="PageNumber"/>
      </w:rPr>
      <w:fldChar w:fldCharType="begin"/>
    </w:r>
    <w:r w:rsidR="00A65433">
      <w:rPr>
        <w:rStyle w:val="PageNumber"/>
      </w:rPr>
      <w:instrText xml:space="preserve">PAGE  </w:instrText>
    </w:r>
    <w:r>
      <w:rPr>
        <w:rStyle w:val="PageNumber"/>
      </w:rPr>
      <w:fldChar w:fldCharType="end"/>
    </w:r>
  </w:p>
  <w:p w:rsidR="00E1307C" w:rsidRDefault="00E130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07C" w:rsidRDefault="009202EE">
    <w:pPr>
      <w:pStyle w:val="Footer"/>
      <w:framePr w:wrap="around" w:vAnchor="text" w:hAnchor="margin" w:xAlign="center" w:y="1"/>
      <w:rPr>
        <w:rStyle w:val="PageNumber"/>
        <w:sz w:val="22"/>
        <w:szCs w:val="22"/>
      </w:rPr>
    </w:pPr>
    <w:r>
      <w:rPr>
        <w:rStyle w:val="PageNumber"/>
        <w:sz w:val="22"/>
        <w:szCs w:val="22"/>
      </w:rPr>
      <w:fldChar w:fldCharType="begin"/>
    </w:r>
    <w:r w:rsidR="00A65433">
      <w:rPr>
        <w:rStyle w:val="PageNumber"/>
        <w:sz w:val="22"/>
        <w:szCs w:val="22"/>
      </w:rPr>
      <w:instrText xml:space="preserve">PAGE  </w:instrText>
    </w:r>
    <w:r>
      <w:rPr>
        <w:rStyle w:val="PageNumber"/>
        <w:sz w:val="22"/>
        <w:szCs w:val="22"/>
      </w:rPr>
      <w:fldChar w:fldCharType="separate"/>
    </w:r>
    <w:r w:rsidR="00EE2666">
      <w:rPr>
        <w:rStyle w:val="PageNumber"/>
        <w:noProof/>
        <w:sz w:val="22"/>
        <w:szCs w:val="22"/>
      </w:rPr>
      <w:t>46</w:t>
    </w:r>
    <w:r>
      <w:rPr>
        <w:rStyle w:val="PageNumber"/>
        <w:sz w:val="22"/>
        <w:szCs w:val="22"/>
      </w:rPr>
      <w:fldChar w:fldCharType="end"/>
    </w:r>
  </w:p>
  <w:p w:rsidR="00E1307C" w:rsidRDefault="00E1307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0BC" w:rsidRDefault="001B50BC">
      <w:r>
        <w:separator/>
      </w:r>
    </w:p>
  </w:footnote>
  <w:footnote w:type="continuationSeparator" w:id="0">
    <w:p w:rsidR="001B50BC" w:rsidRDefault="001B50BC">
      <w:r>
        <w:continuationSeparator/>
      </w:r>
    </w:p>
  </w:footnote>
  <w:footnote w:id="1">
    <w:p w:rsidR="00E1307C" w:rsidRDefault="00A65433">
      <w:pPr>
        <w:pStyle w:val="FootnoteText"/>
        <w:ind w:left="180" w:right="180" w:hanging="180"/>
        <w:rPr>
          <w:i/>
          <w:iCs/>
        </w:rPr>
      </w:pPr>
      <w:r>
        <w:rPr>
          <w:rStyle w:val="FootnoteReference"/>
        </w:rPr>
        <w:footnoteRef/>
      </w:r>
      <w:r>
        <w:t xml:space="preserve"> UNICEF, </w:t>
      </w:r>
      <w:r>
        <w:rPr>
          <w:i/>
          <w:iCs/>
        </w:rPr>
        <w:t xml:space="preserve">Education for All, </w:t>
      </w:r>
      <w:r>
        <w:t>1999.</w:t>
      </w:r>
    </w:p>
  </w:footnote>
  <w:footnote w:id="2">
    <w:p w:rsidR="00E1307C" w:rsidRDefault="00A65433" w:rsidP="008E39D4">
      <w:pPr>
        <w:pStyle w:val="FootnoteText"/>
        <w:rPr>
          <w:sz w:val="18"/>
          <w:szCs w:val="18"/>
        </w:rPr>
      </w:pPr>
      <w:r>
        <w:rPr>
          <w:rStyle w:val="FootnoteReference"/>
          <w:sz w:val="18"/>
          <w:szCs w:val="18"/>
        </w:rPr>
        <w:footnoteRef/>
      </w:r>
      <w:r>
        <w:rPr>
          <w:sz w:val="18"/>
          <w:szCs w:val="18"/>
        </w:rPr>
        <w:t>5</w:t>
      </w:r>
      <w:r w:rsidR="008E39D4">
        <w:rPr>
          <w:sz w:val="18"/>
          <w:szCs w:val="18"/>
        </w:rPr>
        <w:t>3</w:t>
      </w:r>
      <w:r>
        <w:rPr>
          <w:sz w:val="18"/>
          <w:szCs w:val="18"/>
        </w:rPr>
        <w:t>.</w:t>
      </w:r>
      <w:r w:rsidR="008E39D4">
        <w:rPr>
          <w:sz w:val="18"/>
          <w:szCs w:val="18"/>
        </w:rPr>
        <w:t>2</w:t>
      </w:r>
      <w:r>
        <w:rPr>
          <w:sz w:val="18"/>
          <w:szCs w:val="18"/>
        </w:rPr>
        <w:t>% of basic education stage children in Gaza Strip were enrolled in UNRWA schools while 9.</w:t>
      </w:r>
      <w:r w:rsidR="008E39D4">
        <w:rPr>
          <w:sz w:val="18"/>
          <w:szCs w:val="18"/>
        </w:rPr>
        <w:t>3</w:t>
      </w:r>
      <w:r>
        <w:rPr>
          <w:sz w:val="18"/>
          <w:szCs w:val="18"/>
        </w:rPr>
        <w:t xml:space="preserve">% in  basic education stage students in the West Bank were enrolled in UNRWA schools during the scholastic year </w:t>
      </w:r>
      <w:r w:rsidR="008E39D4">
        <w:rPr>
          <w:sz w:val="18"/>
          <w:szCs w:val="18"/>
        </w:rPr>
        <w:t>2010</w:t>
      </w:r>
      <w:r>
        <w:rPr>
          <w:sz w:val="18"/>
          <w:szCs w:val="18"/>
        </w:rPr>
        <w:t>/</w:t>
      </w:r>
      <w:r w:rsidR="008E39D4">
        <w:rPr>
          <w:sz w:val="18"/>
          <w:szCs w:val="18"/>
        </w:rPr>
        <w:t>2011</w:t>
      </w:r>
      <w:r>
        <w:rPr>
          <w:sz w:val="18"/>
          <w:szCs w:val="18"/>
        </w:rPr>
        <w:t>.</w:t>
      </w:r>
    </w:p>
  </w:footnote>
  <w:footnote w:id="3">
    <w:p w:rsidR="00E1307C" w:rsidRDefault="00A65433">
      <w:pPr>
        <w:pStyle w:val="FootnoteText"/>
      </w:pPr>
      <w:r>
        <w:rPr>
          <w:rStyle w:val="FootnoteReference"/>
        </w:rPr>
        <w:footnoteRef/>
      </w:r>
      <w:r>
        <w:t xml:space="preserve"> Includes schools that have both basic education and secondary school education as well as secondary schools.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07C" w:rsidRDefault="00A65433" w:rsidP="00785EF4">
    <w:pPr>
      <w:pStyle w:val="Header"/>
      <w:pBdr>
        <w:bottom w:val="thinThickMediumGap" w:sz="12" w:space="1" w:color="auto"/>
      </w:pBdr>
      <w:bidi/>
      <w:rPr>
        <w:b/>
        <w:bCs/>
        <w:sz w:val="20"/>
        <w:szCs w:val="20"/>
        <w:rtl/>
      </w:rPr>
    </w:pPr>
    <w:r>
      <w:rPr>
        <w:b/>
        <w:bCs/>
        <w:sz w:val="20"/>
        <w:szCs w:val="20"/>
      </w:rPr>
      <w:t>PALESTINIAN CHILDREN-ISSUES AND STATISTICS. No (1</w:t>
    </w:r>
    <w:r w:rsidR="00785EF4">
      <w:rPr>
        <w:b/>
        <w:bCs/>
        <w:sz w:val="20"/>
        <w:szCs w:val="20"/>
      </w:rPr>
      <w:t>5</w:t>
    </w:r>
    <w:r>
      <w:rPr>
        <w:b/>
        <w:bCs/>
        <w:sz w:val="20"/>
        <w:szCs w:val="20"/>
      </w:rPr>
      <w:t>), 20</w:t>
    </w:r>
    <w:r w:rsidR="00785EF4">
      <w:rPr>
        <w:b/>
        <w:bCs/>
        <w:sz w:val="20"/>
        <w:szCs w:val="20"/>
      </w:rPr>
      <w:t>12</w:t>
    </w:r>
  </w:p>
  <w:p w:rsidR="00E1307C" w:rsidRDefault="00E1307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02AD5"/>
    <w:multiLevelType w:val="hybridMultilevel"/>
    <w:tmpl w:val="FF6A4DA8"/>
    <w:lvl w:ilvl="0" w:tplc="FFFFFFFF">
      <w:start w:val="1"/>
      <w:numFmt w:val="lowerLetter"/>
      <w:lvlText w:val="%1."/>
      <w:lvlJc w:val="left"/>
      <w:pPr>
        <w:tabs>
          <w:tab w:val="num" w:pos="720"/>
        </w:tabs>
        <w:ind w:left="720" w:right="720" w:hanging="360"/>
      </w:pPr>
      <w:rPr>
        <w:rFonts w:hint="default"/>
      </w:rPr>
    </w:lvl>
    <w:lvl w:ilvl="1" w:tplc="FFFFFFFF" w:tentative="1">
      <w:start w:val="1"/>
      <w:numFmt w:val="lowerLetter"/>
      <w:lvlText w:val="%2."/>
      <w:lvlJc w:val="left"/>
      <w:pPr>
        <w:tabs>
          <w:tab w:val="num" w:pos="1440"/>
        </w:tabs>
        <w:ind w:left="1440" w:right="1440" w:hanging="360"/>
      </w:p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1">
    <w:nsid w:val="3B7C47A3"/>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2">
    <w:nsid w:val="5D9F76E3"/>
    <w:multiLevelType w:val="singleLevel"/>
    <w:tmpl w:val="863055AE"/>
    <w:lvl w:ilvl="0">
      <w:start w:val="59"/>
      <w:numFmt w:val="chosung"/>
      <w:lvlText w:val="-"/>
      <w:lvlJc w:val="left"/>
      <w:pPr>
        <w:tabs>
          <w:tab w:val="num" w:pos="360"/>
        </w:tabs>
        <w:ind w:left="360" w:right="360" w:hanging="360"/>
      </w:pPr>
      <w:rPr>
        <w:rFonts w:cs="Times New Roman"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hdrShapeDefaults>
    <o:shapedefaults v:ext="edit" spidmax="39938">
      <o:colormenu v:ext="edit" strokecolor="black" shadowcolor="none"/>
    </o:shapedefaults>
  </w:hdrShapeDefaults>
  <w:footnotePr>
    <w:footnote w:id="-1"/>
    <w:footnote w:id="0"/>
  </w:footnotePr>
  <w:endnotePr>
    <w:endnote w:id="-1"/>
    <w:endnote w:id="0"/>
  </w:endnotePr>
  <w:compat/>
  <w:rsids>
    <w:rsidRoot w:val="00785EF4"/>
    <w:rsid w:val="00011E2F"/>
    <w:rsid w:val="0003260D"/>
    <w:rsid w:val="000D0E11"/>
    <w:rsid w:val="000E174A"/>
    <w:rsid w:val="00127513"/>
    <w:rsid w:val="001B2F0D"/>
    <w:rsid w:val="001B50BC"/>
    <w:rsid w:val="001C1159"/>
    <w:rsid w:val="0020699B"/>
    <w:rsid w:val="00213053"/>
    <w:rsid w:val="00247EDE"/>
    <w:rsid w:val="002563E3"/>
    <w:rsid w:val="002A56A4"/>
    <w:rsid w:val="002F0A85"/>
    <w:rsid w:val="003423DF"/>
    <w:rsid w:val="003733E4"/>
    <w:rsid w:val="004E172B"/>
    <w:rsid w:val="005A0182"/>
    <w:rsid w:val="006645DC"/>
    <w:rsid w:val="006F1317"/>
    <w:rsid w:val="00700C0A"/>
    <w:rsid w:val="0073197E"/>
    <w:rsid w:val="00744C3B"/>
    <w:rsid w:val="0078030C"/>
    <w:rsid w:val="00785EF4"/>
    <w:rsid w:val="00795EDA"/>
    <w:rsid w:val="007F0AFE"/>
    <w:rsid w:val="00810960"/>
    <w:rsid w:val="008C7B34"/>
    <w:rsid w:val="008E39D4"/>
    <w:rsid w:val="0091042C"/>
    <w:rsid w:val="009202EE"/>
    <w:rsid w:val="00963829"/>
    <w:rsid w:val="009669B0"/>
    <w:rsid w:val="00A02506"/>
    <w:rsid w:val="00A22CB3"/>
    <w:rsid w:val="00A230B2"/>
    <w:rsid w:val="00A424C7"/>
    <w:rsid w:val="00A65433"/>
    <w:rsid w:val="00A74F50"/>
    <w:rsid w:val="00AD04C8"/>
    <w:rsid w:val="00AE6FD7"/>
    <w:rsid w:val="00B20619"/>
    <w:rsid w:val="00B6309A"/>
    <w:rsid w:val="00BA1529"/>
    <w:rsid w:val="00C35E1F"/>
    <w:rsid w:val="00C518B5"/>
    <w:rsid w:val="00CC27E2"/>
    <w:rsid w:val="00CF5565"/>
    <w:rsid w:val="00D536C1"/>
    <w:rsid w:val="00D70600"/>
    <w:rsid w:val="00D90F1D"/>
    <w:rsid w:val="00DE3A0D"/>
    <w:rsid w:val="00DF39AB"/>
    <w:rsid w:val="00E00B3C"/>
    <w:rsid w:val="00E1307C"/>
    <w:rsid w:val="00EE2666"/>
    <w:rsid w:val="00FA219F"/>
    <w:rsid w:val="00FD5F27"/>
    <w:rsid w:val="00FE03E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colormenu v:ext="edit" strokecolor="black"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07C"/>
    <w:rPr>
      <w:sz w:val="24"/>
      <w:szCs w:val="24"/>
    </w:rPr>
  </w:style>
  <w:style w:type="paragraph" w:styleId="Heading1">
    <w:name w:val="heading 1"/>
    <w:basedOn w:val="Normal"/>
    <w:next w:val="Normal"/>
    <w:qFormat/>
    <w:rsid w:val="00E1307C"/>
    <w:pPr>
      <w:keepNext/>
      <w:outlineLvl w:val="0"/>
    </w:pPr>
    <w:rPr>
      <w:b/>
      <w:bCs/>
    </w:rPr>
  </w:style>
  <w:style w:type="paragraph" w:styleId="Heading2">
    <w:name w:val="heading 2"/>
    <w:basedOn w:val="Normal"/>
    <w:next w:val="Normal"/>
    <w:qFormat/>
    <w:rsid w:val="00E1307C"/>
    <w:pPr>
      <w:keepNext/>
      <w:jc w:val="both"/>
      <w:outlineLvl w:val="1"/>
    </w:pPr>
    <w:rPr>
      <w:b/>
      <w:bCs/>
      <w:lang w:bidi="ar-JO"/>
    </w:rPr>
  </w:style>
  <w:style w:type="paragraph" w:styleId="Heading3">
    <w:name w:val="heading 3"/>
    <w:basedOn w:val="Normal"/>
    <w:next w:val="Normal"/>
    <w:qFormat/>
    <w:rsid w:val="00E1307C"/>
    <w:pPr>
      <w:keepNext/>
      <w:outlineLvl w:val="2"/>
    </w:pPr>
    <w:rPr>
      <w:b/>
      <w:bCs/>
      <w:color w:val="339966"/>
      <w:lang w:bidi="ar-JO"/>
    </w:rPr>
  </w:style>
  <w:style w:type="paragraph" w:styleId="Heading4">
    <w:name w:val="heading 4"/>
    <w:basedOn w:val="Normal"/>
    <w:next w:val="Normal"/>
    <w:qFormat/>
    <w:rsid w:val="00E1307C"/>
    <w:pPr>
      <w:keepNext/>
      <w:outlineLvl w:val="3"/>
    </w:pPr>
    <w:rPr>
      <w:rFonts w:cs="Traditional Arabic"/>
      <w:b/>
      <w:bCs/>
      <w:noProof/>
      <w:sz w:val="20"/>
    </w:rPr>
  </w:style>
  <w:style w:type="paragraph" w:styleId="Heading5">
    <w:name w:val="heading 5"/>
    <w:basedOn w:val="Normal"/>
    <w:next w:val="Normal"/>
    <w:qFormat/>
    <w:rsid w:val="00E1307C"/>
    <w:pPr>
      <w:keepNext/>
      <w:outlineLvl w:val="4"/>
    </w:pPr>
    <w:rPr>
      <w:rFonts w:cs="Traditional Arabic"/>
      <w:b/>
      <w:bCs/>
      <w:noProof/>
      <w:szCs w:val="28"/>
    </w:rPr>
  </w:style>
  <w:style w:type="paragraph" w:styleId="Heading6">
    <w:name w:val="heading 6"/>
    <w:basedOn w:val="Normal"/>
    <w:next w:val="Normal"/>
    <w:qFormat/>
    <w:rsid w:val="00E1307C"/>
    <w:pPr>
      <w:keepNext/>
      <w:bidi/>
      <w:jc w:val="center"/>
      <w:outlineLvl w:val="5"/>
    </w:pPr>
    <w:rPr>
      <w:b/>
      <w:bCs/>
      <w:color w:val="000000"/>
      <w:sz w:val="26"/>
      <w:szCs w:val="26"/>
      <w:lang w:eastAsia="ar-SA"/>
    </w:rPr>
  </w:style>
  <w:style w:type="paragraph" w:styleId="Heading7">
    <w:name w:val="heading 7"/>
    <w:basedOn w:val="Normal"/>
    <w:next w:val="Normal"/>
    <w:qFormat/>
    <w:rsid w:val="00E1307C"/>
    <w:pPr>
      <w:keepNext/>
      <w:jc w:val="lowKashida"/>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1307C"/>
    <w:rPr>
      <w:rFonts w:cs="Traditional Arabic"/>
      <w:noProof/>
      <w:sz w:val="20"/>
    </w:rPr>
  </w:style>
  <w:style w:type="character" w:styleId="FootnoteReference">
    <w:name w:val="footnote reference"/>
    <w:basedOn w:val="DefaultParagraphFont"/>
    <w:semiHidden/>
    <w:rsid w:val="00E1307C"/>
    <w:rPr>
      <w:vertAlign w:val="superscript"/>
    </w:rPr>
  </w:style>
  <w:style w:type="paragraph" w:styleId="BodyText">
    <w:name w:val="Body Text"/>
    <w:basedOn w:val="Normal"/>
    <w:semiHidden/>
    <w:rsid w:val="00E1307C"/>
    <w:pPr>
      <w:jc w:val="center"/>
    </w:pPr>
    <w:rPr>
      <w:rFonts w:cs="Traditional Arabic"/>
      <w:noProof/>
      <w:szCs w:val="28"/>
      <w:lang w:bidi="ar-JO"/>
    </w:rPr>
  </w:style>
  <w:style w:type="paragraph" w:styleId="BodyText2">
    <w:name w:val="Body Text 2"/>
    <w:basedOn w:val="Normal"/>
    <w:semiHidden/>
    <w:rsid w:val="00E1307C"/>
    <w:pPr>
      <w:jc w:val="center"/>
    </w:pPr>
    <w:rPr>
      <w:b/>
      <w:bCs/>
      <w:lang w:bidi="ar-JO"/>
    </w:rPr>
  </w:style>
  <w:style w:type="paragraph" w:styleId="BodyTextIndent">
    <w:name w:val="Body Text Indent"/>
    <w:basedOn w:val="Normal"/>
    <w:semiHidden/>
    <w:rsid w:val="00E1307C"/>
    <w:pPr>
      <w:ind w:left="60"/>
    </w:pPr>
    <w:rPr>
      <w:rFonts w:cs="Traditional Arabic"/>
      <w:szCs w:val="28"/>
    </w:rPr>
  </w:style>
  <w:style w:type="paragraph" w:styleId="Footer">
    <w:name w:val="footer"/>
    <w:basedOn w:val="Normal"/>
    <w:semiHidden/>
    <w:rsid w:val="00E1307C"/>
    <w:pPr>
      <w:tabs>
        <w:tab w:val="center" w:pos="4153"/>
        <w:tab w:val="right" w:pos="8306"/>
      </w:tabs>
    </w:pPr>
  </w:style>
  <w:style w:type="character" w:styleId="PageNumber">
    <w:name w:val="page number"/>
    <w:basedOn w:val="DefaultParagraphFont"/>
    <w:semiHidden/>
    <w:rsid w:val="00E1307C"/>
  </w:style>
  <w:style w:type="paragraph" w:styleId="Header">
    <w:name w:val="header"/>
    <w:basedOn w:val="Normal"/>
    <w:semiHidden/>
    <w:rsid w:val="00E1307C"/>
    <w:pPr>
      <w:tabs>
        <w:tab w:val="center" w:pos="4153"/>
        <w:tab w:val="right" w:pos="8306"/>
      </w:tabs>
    </w:pPr>
  </w:style>
  <w:style w:type="paragraph" w:styleId="BodyText3">
    <w:name w:val="Body Text 3"/>
    <w:basedOn w:val="Normal"/>
    <w:semiHidden/>
    <w:rsid w:val="00E1307C"/>
    <w:pPr>
      <w:jc w:val="both"/>
    </w:pPr>
    <w:rPr>
      <w:lang w:bidi="ar-JO"/>
    </w:rPr>
  </w:style>
  <w:style w:type="character" w:customStyle="1" w:styleId="longtext1">
    <w:name w:val="long_text1"/>
    <w:basedOn w:val="DefaultParagraphFont"/>
    <w:rsid w:val="00E1307C"/>
    <w:rPr>
      <w:spacing w:val="408"/>
      <w:sz w:val="20"/>
      <w:szCs w:val="20"/>
    </w:rPr>
  </w:style>
  <w:style w:type="paragraph" w:styleId="BalloonText">
    <w:name w:val="Balloon Text"/>
    <w:basedOn w:val="Normal"/>
    <w:link w:val="BalloonTextChar"/>
    <w:uiPriority w:val="99"/>
    <w:semiHidden/>
    <w:unhideWhenUsed/>
    <w:rsid w:val="00785EF4"/>
    <w:rPr>
      <w:rFonts w:ascii="Tahoma" w:hAnsi="Tahoma" w:cs="Tahoma"/>
      <w:sz w:val="16"/>
      <w:szCs w:val="16"/>
    </w:rPr>
  </w:style>
  <w:style w:type="character" w:customStyle="1" w:styleId="BalloonTextChar">
    <w:name w:val="Balloon Text Char"/>
    <w:basedOn w:val="DefaultParagraphFont"/>
    <w:link w:val="BalloonText"/>
    <w:uiPriority w:val="99"/>
    <w:semiHidden/>
    <w:rsid w:val="00785E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2007_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2007_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2007_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237785016286579"/>
          <c:y val="3.3707865168539485E-2"/>
          <c:w val="0.8566775244299677"/>
          <c:h val="0.78932584269662964"/>
        </c:manualLayout>
      </c:layout>
      <c:barChart>
        <c:barDir val="col"/>
        <c:grouping val="clustered"/>
        <c:ser>
          <c:idx val="0"/>
          <c:order val="0"/>
          <c:tx>
            <c:strRef>
              <c:f>Sheet1!$A$2</c:f>
              <c:strCache>
                <c:ptCount val="1"/>
                <c:pt idx="0">
                  <c:v>West Bank</c:v>
                </c:pt>
              </c:strCache>
            </c:strRef>
          </c:tx>
          <c:spPr>
            <a:solidFill>
              <a:srgbClr val="993366"/>
            </a:solidFill>
            <a:ln w="12700">
              <a:solidFill>
                <a:srgbClr val="000000"/>
              </a:solidFill>
              <a:prstDash val="solid"/>
            </a:ln>
          </c:spPr>
          <c:dLbls>
            <c:dLbl>
              <c:idx val="0"/>
              <c:tx>
                <c:rich>
                  <a:bodyPr/>
                  <a:lstStyle/>
                  <a:p>
                    <a:pPr>
                      <a:defRPr sz="875" b="0" i="0" u="none" strike="noStrike" baseline="0">
                        <a:solidFill>
                          <a:srgbClr val="000000"/>
                        </a:solidFill>
                        <a:latin typeface="Arial"/>
                        <a:ea typeface="Arial"/>
                        <a:cs typeface="Arial"/>
                      </a:defRPr>
                    </a:pPr>
                    <a:r>
                      <a:rPr lang="ar-SA"/>
                      <a:t>3.4</a:t>
                    </a:r>
                  </a:p>
                </c:rich>
              </c:tx>
              <c:spPr>
                <a:noFill/>
                <a:ln w="25399">
                  <a:noFill/>
                </a:ln>
              </c:spPr>
            </c:dLbl>
            <c:dLbl>
              <c:idx val="1"/>
              <c:tx>
                <c:rich>
                  <a:bodyPr/>
                  <a:lstStyle/>
                  <a:p>
                    <a:pPr>
                      <a:defRPr sz="875" b="0" i="0" u="none" strike="noStrike" baseline="0">
                        <a:solidFill>
                          <a:srgbClr val="000000"/>
                        </a:solidFill>
                        <a:latin typeface="Arial"/>
                        <a:ea typeface="Arial"/>
                        <a:cs typeface="Arial"/>
                      </a:defRPr>
                    </a:pPr>
                    <a:r>
                      <a:rPr lang="ar-SA"/>
                      <a:t>2.2</a:t>
                    </a:r>
                  </a:p>
                </c:rich>
              </c:tx>
              <c:spPr>
                <a:noFill/>
                <a:ln w="25399">
                  <a:noFill/>
                </a:ln>
              </c:spPr>
            </c:dLbl>
            <c:dLbl>
              <c:idx val="2"/>
              <c:tx>
                <c:rich>
                  <a:bodyPr/>
                  <a:lstStyle/>
                  <a:p>
                    <a:pPr>
                      <a:defRPr sz="875" b="0" i="0" u="none" strike="noStrike" baseline="0">
                        <a:solidFill>
                          <a:srgbClr val="000000"/>
                        </a:solidFill>
                        <a:latin typeface="Arial"/>
                        <a:ea typeface="Arial"/>
                        <a:cs typeface="Arial"/>
                      </a:defRPr>
                    </a:pPr>
                    <a:r>
                      <a:rPr lang="ar-SA"/>
                      <a:t>1.2</a:t>
                    </a:r>
                  </a:p>
                </c:rich>
              </c:tx>
              <c:spPr>
                <a:noFill/>
                <a:ln w="25399">
                  <a:noFill/>
                </a:ln>
              </c:spPr>
            </c:dLbl>
            <c:dLbl>
              <c:idx val="3"/>
              <c:tx>
                <c:rich>
                  <a:bodyPr/>
                  <a:lstStyle/>
                  <a:p>
                    <a:pPr>
                      <a:defRPr sz="875" b="0" i="0" u="none" strike="noStrike" baseline="0">
                        <a:solidFill>
                          <a:srgbClr val="000000"/>
                        </a:solidFill>
                        <a:latin typeface="Arial"/>
                        <a:ea typeface="Arial"/>
                        <a:cs typeface="Arial"/>
                      </a:defRPr>
                    </a:pPr>
                    <a:r>
                      <a:rPr lang="ar-SA"/>
                      <a:t>1.4</a:t>
                    </a:r>
                  </a:p>
                </c:rich>
              </c:tx>
              <c:spPr>
                <a:noFill/>
                <a:ln w="25399">
                  <a:noFill/>
                </a:ln>
              </c:spPr>
            </c:dLbl>
            <c:dLbl>
              <c:idx val="4"/>
              <c:tx>
                <c:rich>
                  <a:bodyPr/>
                  <a:lstStyle/>
                  <a:p>
                    <a:pPr>
                      <a:defRPr sz="875" b="0" i="0" u="none" strike="noStrike" baseline="0">
                        <a:solidFill>
                          <a:srgbClr val="000000"/>
                        </a:solidFill>
                        <a:latin typeface="Arial"/>
                        <a:ea typeface="Arial"/>
                        <a:cs typeface="Arial"/>
                      </a:defRPr>
                    </a:pPr>
                    <a:r>
                      <a:rPr lang="ar-SA"/>
                      <a:t>1.6</a:t>
                    </a:r>
                  </a:p>
                </c:rich>
              </c:tx>
              <c:spPr>
                <a:noFill/>
                <a:ln w="25399">
                  <a:noFill/>
                </a:ln>
              </c:spPr>
            </c:dLbl>
            <c:dLbl>
              <c:idx val="5"/>
              <c:tx>
                <c:rich>
                  <a:bodyPr/>
                  <a:lstStyle/>
                  <a:p>
                    <a:r>
                      <a:rPr lang="en-US"/>
                      <a:t>1.5</a:t>
                    </a:r>
                  </a:p>
                </c:rich>
              </c:tx>
              <c:showVal val="1"/>
            </c:dLbl>
            <c:numFmt formatCode="0.0%" sourceLinked="0"/>
            <c:spPr>
              <a:no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Sheet1!$B$1:$G$1</c:f>
              <c:strCache>
                <c:ptCount val="6"/>
                <c:pt idx="0">
                  <c:v>1994/1995</c:v>
                </c:pt>
                <c:pt idx="1">
                  <c:v>1998/1999</c:v>
                </c:pt>
                <c:pt idx="2">
                  <c:v>2003/2004</c:v>
                </c:pt>
                <c:pt idx="3">
                  <c:v>2005/2006</c:v>
                </c:pt>
                <c:pt idx="4">
                  <c:v>2006/2007</c:v>
                </c:pt>
                <c:pt idx="5">
                  <c:v>2009/2010</c:v>
                </c:pt>
              </c:strCache>
            </c:strRef>
          </c:cat>
          <c:val>
            <c:numRef>
              <c:f>Sheet1!$B$2:$G$2</c:f>
              <c:numCache>
                <c:formatCode>General</c:formatCode>
                <c:ptCount val="6"/>
                <c:pt idx="0">
                  <c:v>3.4</c:v>
                </c:pt>
                <c:pt idx="1">
                  <c:v>2.2000000000000002</c:v>
                </c:pt>
                <c:pt idx="2">
                  <c:v>1.2</c:v>
                </c:pt>
                <c:pt idx="3">
                  <c:v>1.4</c:v>
                </c:pt>
                <c:pt idx="4">
                  <c:v>1.6</c:v>
                </c:pt>
                <c:pt idx="5">
                  <c:v>1.5</c:v>
                </c:pt>
              </c:numCache>
            </c:numRef>
          </c:val>
        </c:ser>
        <c:ser>
          <c:idx val="1"/>
          <c:order val="1"/>
          <c:tx>
            <c:strRef>
              <c:f>Sheet1!$A$3</c:f>
              <c:strCache>
                <c:ptCount val="1"/>
                <c:pt idx="0">
                  <c:v>Gaza Strip</c:v>
                </c:pt>
              </c:strCache>
            </c:strRef>
          </c:tx>
          <c:spPr>
            <a:pattFill prst="pct20">
              <a:fgClr>
                <a:srgbClr val="CC99FF"/>
              </a:fgClr>
              <a:bgClr>
                <a:srgbClr val="9999FF"/>
              </a:bgClr>
            </a:pattFill>
            <a:ln w="12700">
              <a:solidFill>
                <a:srgbClr val="000000"/>
              </a:solidFill>
              <a:prstDash val="solid"/>
            </a:ln>
          </c:spPr>
          <c:dLbls>
            <c:dLbl>
              <c:idx val="0"/>
              <c:tx>
                <c:rich>
                  <a:bodyPr/>
                  <a:lstStyle/>
                  <a:p>
                    <a:pPr>
                      <a:defRPr sz="875" b="0" i="0" u="none" strike="noStrike" baseline="0">
                        <a:solidFill>
                          <a:srgbClr val="000000"/>
                        </a:solidFill>
                        <a:latin typeface="Arial"/>
                        <a:ea typeface="Arial"/>
                        <a:cs typeface="Arial"/>
                      </a:defRPr>
                    </a:pPr>
                    <a:r>
                      <a:rPr lang="ar-SA"/>
                      <a:t>6.8</a:t>
                    </a:r>
                  </a:p>
                </c:rich>
              </c:tx>
              <c:spPr>
                <a:noFill/>
                <a:ln w="25399">
                  <a:noFill/>
                </a:ln>
              </c:spPr>
            </c:dLbl>
            <c:dLbl>
              <c:idx val="1"/>
              <c:tx>
                <c:rich>
                  <a:bodyPr/>
                  <a:lstStyle/>
                  <a:p>
                    <a:pPr>
                      <a:defRPr sz="875" b="0" i="0" u="none" strike="noStrike" baseline="0">
                        <a:solidFill>
                          <a:srgbClr val="000000"/>
                        </a:solidFill>
                        <a:latin typeface="Arial"/>
                        <a:ea typeface="Arial"/>
                        <a:cs typeface="Arial"/>
                      </a:defRPr>
                    </a:pPr>
                    <a:r>
                      <a:rPr lang="ar-SA"/>
                      <a:t>3.0</a:t>
                    </a:r>
                  </a:p>
                </c:rich>
              </c:tx>
              <c:spPr>
                <a:noFill/>
                <a:ln w="25399">
                  <a:noFill/>
                </a:ln>
              </c:spPr>
            </c:dLbl>
            <c:dLbl>
              <c:idx val="2"/>
              <c:tx>
                <c:rich>
                  <a:bodyPr/>
                  <a:lstStyle/>
                  <a:p>
                    <a:pPr>
                      <a:defRPr sz="875" b="0" i="0" u="none" strike="noStrike" baseline="0">
                        <a:solidFill>
                          <a:srgbClr val="000000"/>
                        </a:solidFill>
                        <a:latin typeface="Arial"/>
                        <a:ea typeface="Arial"/>
                        <a:cs typeface="Arial"/>
                      </a:defRPr>
                    </a:pPr>
                    <a:r>
                      <a:rPr lang="ar-SA"/>
                      <a:t>1.7</a:t>
                    </a:r>
                  </a:p>
                </c:rich>
              </c:tx>
              <c:spPr>
                <a:noFill/>
                <a:ln w="25399">
                  <a:noFill/>
                </a:ln>
              </c:spPr>
            </c:dLbl>
            <c:dLbl>
              <c:idx val="3"/>
              <c:tx>
                <c:rich>
                  <a:bodyPr/>
                  <a:lstStyle/>
                  <a:p>
                    <a:pPr>
                      <a:defRPr sz="875" b="0" i="0" u="none" strike="noStrike" baseline="0">
                        <a:solidFill>
                          <a:srgbClr val="000000"/>
                        </a:solidFill>
                        <a:latin typeface="Arial"/>
                        <a:ea typeface="Arial"/>
                        <a:cs typeface="Arial"/>
                      </a:defRPr>
                    </a:pPr>
                    <a:r>
                      <a:rPr lang="ar-SA"/>
                      <a:t>1.9</a:t>
                    </a:r>
                  </a:p>
                </c:rich>
              </c:tx>
              <c:spPr>
                <a:noFill/>
                <a:ln w="25399">
                  <a:noFill/>
                </a:ln>
              </c:spPr>
            </c:dLbl>
            <c:dLbl>
              <c:idx val="4"/>
              <c:tx>
                <c:rich>
                  <a:bodyPr/>
                  <a:lstStyle/>
                  <a:p>
                    <a:pPr>
                      <a:defRPr sz="875" b="0" i="0" u="none" strike="noStrike" baseline="0">
                        <a:solidFill>
                          <a:srgbClr val="000000"/>
                        </a:solidFill>
                        <a:latin typeface="Arial"/>
                        <a:ea typeface="Arial"/>
                        <a:cs typeface="Arial"/>
                      </a:defRPr>
                    </a:pPr>
                    <a:r>
                      <a:rPr lang="ar-SA"/>
                      <a:t>1.9</a:t>
                    </a:r>
                  </a:p>
                </c:rich>
              </c:tx>
              <c:spPr>
                <a:noFill/>
                <a:ln w="25399">
                  <a:noFill/>
                </a:ln>
              </c:spPr>
            </c:dLbl>
            <c:dLbl>
              <c:idx val="5"/>
              <c:tx>
                <c:rich>
                  <a:bodyPr/>
                  <a:lstStyle/>
                  <a:p>
                    <a:r>
                      <a:rPr lang="en-US"/>
                      <a:t>1.9</a:t>
                    </a:r>
                  </a:p>
                </c:rich>
              </c:tx>
              <c:showVal val="1"/>
            </c:dLbl>
            <c:numFmt formatCode="0.0%" sourceLinked="0"/>
            <c:spPr>
              <a:noFill/>
              <a:ln w="25399">
                <a:noFill/>
              </a:ln>
            </c:spPr>
            <c:txPr>
              <a:bodyPr/>
              <a:lstStyle/>
              <a:p>
                <a:pPr>
                  <a:defRPr sz="875" b="0" i="0" u="none" strike="noStrike" baseline="0">
                    <a:solidFill>
                      <a:srgbClr val="000000"/>
                    </a:solidFill>
                    <a:latin typeface="Arial"/>
                    <a:ea typeface="Arial"/>
                    <a:cs typeface="Arial"/>
                  </a:defRPr>
                </a:pPr>
                <a:endParaRPr lang="ar-SA"/>
              </a:p>
            </c:txPr>
            <c:showVal val="1"/>
          </c:dLbls>
          <c:cat>
            <c:strRef>
              <c:f>Sheet1!$B$1:$G$1</c:f>
              <c:strCache>
                <c:ptCount val="6"/>
                <c:pt idx="0">
                  <c:v>1994/1995</c:v>
                </c:pt>
                <c:pt idx="1">
                  <c:v>1998/1999</c:v>
                </c:pt>
                <c:pt idx="2">
                  <c:v>2003/2004</c:v>
                </c:pt>
                <c:pt idx="3">
                  <c:v>2005/2006</c:v>
                </c:pt>
                <c:pt idx="4">
                  <c:v>2006/2007</c:v>
                </c:pt>
                <c:pt idx="5">
                  <c:v>2009/2010</c:v>
                </c:pt>
              </c:strCache>
            </c:strRef>
          </c:cat>
          <c:val>
            <c:numRef>
              <c:f>Sheet1!$B$3:$G$3</c:f>
              <c:numCache>
                <c:formatCode>General</c:formatCode>
                <c:ptCount val="6"/>
                <c:pt idx="0">
                  <c:v>6.8</c:v>
                </c:pt>
                <c:pt idx="1">
                  <c:v>3</c:v>
                </c:pt>
                <c:pt idx="2">
                  <c:v>1.7000000000000017</c:v>
                </c:pt>
                <c:pt idx="3">
                  <c:v>1.9000000000000001</c:v>
                </c:pt>
                <c:pt idx="4">
                  <c:v>1.9000000000000001</c:v>
                </c:pt>
                <c:pt idx="5">
                  <c:v>1.9000000000000001</c:v>
                </c:pt>
              </c:numCache>
            </c:numRef>
          </c:val>
        </c:ser>
        <c:dLbls>
          <c:showVal val="1"/>
        </c:dLbls>
        <c:axId val="77123968"/>
        <c:axId val="77126656"/>
      </c:barChart>
      <c:catAx>
        <c:axId val="77123968"/>
        <c:scaling>
          <c:orientation val="minMax"/>
        </c:scaling>
        <c:axPos val="b"/>
        <c:title>
          <c:tx>
            <c:rich>
              <a:bodyPr/>
              <a:lstStyle/>
              <a:p>
                <a:pPr>
                  <a:defRPr sz="875" b="1" i="0" u="none" strike="noStrike" baseline="0">
                    <a:solidFill>
                      <a:srgbClr val="000000"/>
                    </a:solidFill>
                    <a:latin typeface="Arial"/>
                    <a:ea typeface="Arial"/>
                    <a:cs typeface="Arial"/>
                  </a:defRPr>
                </a:pPr>
                <a:r>
                  <a:rPr lang="en-US"/>
                  <a:t>Scholastic Year</a:t>
                </a:r>
              </a:p>
            </c:rich>
          </c:tx>
          <c:layout>
            <c:manualLayout>
              <c:xMode val="edge"/>
              <c:yMode val="edge"/>
              <c:x val="0.44462540716612375"/>
              <c:y val="0.9213483146067416"/>
            </c:manualLayout>
          </c:layout>
          <c:spPr>
            <a:noFill/>
            <a:ln w="25399">
              <a:noFill/>
            </a:ln>
          </c:spPr>
        </c:title>
        <c:numFmt formatCode="General" sourceLinked="1"/>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7126656"/>
        <c:crosses val="autoZero"/>
        <c:auto val="1"/>
        <c:lblAlgn val="ctr"/>
        <c:lblOffset val="100"/>
        <c:tickLblSkip val="1"/>
        <c:tickMarkSkip val="1"/>
      </c:catAx>
      <c:valAx>
        <c:axId val="77126656"/>
        <c:scaling>
          <c:orientation val="minMax"/>
          <c:max val="8"/>
        </c:scaling>
        <c:axPos val="l"/>
        <c:title>
          <c:tx>
            <c:rich>
              <a:bodyPr/>
              <a:lstStyle/>
              <a:p>
                <a:pPr>
                  <a:defRPr sz="875" b="1" i="0" u="none" strike="noStrike" baseline="0">
                    <a:solidFill>
                      <a:srgbClr val="000000"/>
                    </a:solidFill>
                    <a:latin typeface="Arial"/>
                    <a:ea typeface="Arial"/>
                    <a:cs typeface="Arial"/>
                  </a:defRPr>
                </a:pPr>
                <a:r>
                  <a:rPr lang="en-US"/>
                  <a:t>Percentage</a:t>
                </a:r>
              </a:p>
            </c:rich>
          </c:tx>
          <c:layout>
            <c:manualLayout>
              <c:xMode val="edge"/>
              <c:yMode val="edge"/>
              <c:x val="1.9543973941368194E-2"/>
              <c:y val="0.35393258426966612"/>
            </c:manualLayout>
          </c:layout>
          <c:spPr>
            <a:noFill/>
            <a:ln w="25399">
              <a:noFill/>
            </a:ln>
          </c:spPr>
        </c:title>
        <c:numFmt formatCode="General" sourceLinked="0"/>
        <c:tickLblPos val="nextTo"/>
        <c:spPr>
          <a:ln w="3175">
            <a:solidFill>
              <a:srgbClr val="000000"/>
            </a:solidFill>
            <a:prstDash val="solid"/>
          </a:ln>
        </c:spPr>
        <c:txPr>
          <a:bodyPr rot="0" vert="horz"/>
          <a:lstStyle/>
          <a:p>
            <a:pPr>
              <a:defRPr sz="875" b="0" i="0" u="none" strike="noStrike" baseline="0">
                <a:solidFill>
                  <a:srgbClr val="000000"/>
                </a:solidFill>
                <a:latin typeface="Arial"/>
                <a:ea typeface="Arial"/>
                <a:cs typeface="Arial"/>
              </a:defRPr>
            </a:pPr>
            <a:endParaRPr lang="ar-SA"/>
          </a:p>
        </c:txPr>
        <c:crossAx val="77123968"/>
        <c:crosses val="autoZero"/>
        <c:crossBetween val="between"/>
        <c:majorUnit val="1"/>
        <c:minorUnit val="0.2"/>
      </c:valAx>
      <c:spPr>
        <a:noFill/>
        <a:ln w="12700">
          <a:solidFill>
            <a:srgbClr val="808080"/>
          </a:solidFill>
          <a:prstDash val="solid"/>
        </a:ln>
      </c:spPr>
    </c:plotArea>
    <c:legend>
      <c:legendPos val="r"/>
      <c:layout>
        <c:manualLayout>
          <c:xMode val="edge"/>
          <c:yMode val="edge"/>
          <c:x val="0.41205211726384655"/>
          <c:y val="8.4269662921348368E-2"/>
          <c:w val="0.46742671009772163"/>
          <c:h val="9.2696629213483747E-2"/>
        </c:manualLayout>
      </c:layout>
      <c:spPr>
        <a:noFill/>
        <a:ln w="25399">
          <a:noFill/>
        </a:ln>
      </c:spPr>
      <c:txPr>
        <a:bodyPr/>
        <a:lstStyle/>
        <a:p>
          <a:pPr>
            <a:defRPr sz="101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700">
      <a:solidFill>
        <a:srgbClr val="000000"/>
      </a:solidFill>
      <a:prstDash val="solid"/>
    </a:ln>
    <a:effectLst>
      <a:outerShdw blurRad="50800" dist="50800" dir="5400000" algn="ctr" rotWithShape="0">
        <a:schemeClr val="tx1"/>
      </a:outerShdw>
    </a:effectLst>
  </c:spPr>
  <c:txPr>
    <a:bodyPr/>
    <a:lstStyle/>
    <a:p>
      <a:pPr>
        <a:defRPr sz="15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348534201954289E-2"/>
          <c:y val="6.9277108433734941E-2"/>
          <c:w val="0.8827361563517917"/>
          <c:h val="0.73493975903614461"/>
        </c:manualLayout>
      </c:layout>
      <c:barChart>
        <c:barDir val="col"/>
        <c:grouping val="clustered"/>
        <c:ser>
          <c:idx val="0"/>
          <c:order val="0"/>
          <c:tx>
            <c:strRef>
              <c:f>Sheet1!$A$2</c:f>
              <c:strCache>
                <c:ptCount val="1"/>
                <c:pt idx="0">
                  <c:v>West Bank</c:v>
                </c:pt>
              </c:strCache>
            </c:strRef>
          </c:tx>
          <c:spPr>
            <a:solidFill>
              <a:srgbClr val="993366"/>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2.0</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1.4</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1.1</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0.9</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0.8</a:t>
                    </a:r>
                  </a:p>
                </c:rich>
              </c:tx>
              <c:spPr>
                <a:noFill/>
                <a:ln w="25399">
                  <a:noFill/>
                </a:ln>
              </c:spPr>
            </c:dLbl>
            <c:dLbl>
              <c:idx val="5"/>
              <c:layout>
                <c:manualLayout>
                  <c:x val="-1.0683760683760755E-2"/>
                  <c:y val="-3.8989424567543091E-3"/>
                </c:manualLayout>
              </c:layout>
              <c:tx>
                <c:rich>
                  <a:bodyPr/>
                  <a:lstStyle/>
                  <a:p>
                    <a:r>
                      <a:rPr lang="en-US"/>
                      <a:t>0.9</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1994/1995</c:v>
                </c:pt>
                <c:pt idx="1">
                  <c:v>1998/1999</c:v>
                </c:pt>
                <c:pt idx="2">
                  <c:v>2003/2004</c:v>
                </c:pt>
                <c:pt idx="3">
                  <c:v>2005/2006</c:v>
                </c:pt>
                <c:pt idx="4">
                  <c:v>2006/2007</c:v>
                </c:pt>
                <c:pt idx="5">
                  <c:v>2009/2010</c:v>
                </c:pt>
              </c:strCache>
            </c:strRef>
          </c:cat>
          <c:val>
            <c:numRef>
              <c:f>Sheet1!$B$2:$G$2</c:f>
              <c:numCache>
                <c:formatCode>General</c:formatCode>
                <c:ptCount val="6"/>
                <c:pt idx="0">
                  <c:v>2</c:v>
                </c:pt>
                <c:pt idx="1">
                  <c:v>1.4</c:v>
                </c:pt>
                <c:pt idx="2">
                  <c:v>1.1000000000000001</c:v>
                </c:pt>
                <c:pt idx="3">
                  <c:v>0.9</c:v>
                </c:pt>
                <c:pt idx="4">
                  <c:v>0.8</c:v>
                </c:pt>
                <c:pt idx="5">
                  <c:v>0.9</c:v>
                </c:pt>
              </c:numCache>
            </c:numRef>
          </c:val>
        </c:ser>
        <c:ser>
          <c:idx val="1"/>
          <c:order val="1"/>
          <c:tx>
            <c:strRef>
              <c:f>Sheet1!$A$3</c:f>
              <c:strCache>
                <c:ptCount val="1"/>
                <c:pt idx="0">
                  <c:v>Gaza Strip</c:v>
                </c:pt>
              </c:strCache>
            </c:strRef>
          </c:tx>
          <c:spPr>
            <a:solidFill>
              <a:srgbClr val="9999FF"/>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5.9</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0.6</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0.9</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0.6</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1.0</a:t>
                    </a:r>
                  </a:p>
                </c:rich>
              </c:tx>
              <c:spPr>
                <a:noFill/>
                <a:ln w="25399">
                  <a:noFill/>
                </a:ln>
              </c:spPr>
            </c:dLbl>
            <c:dLbl>
              <c:idx val="5"/>
              <c:tx>
                <c:rich>
                  <a:bodyPr/>
                  <a:lstStyle/>
                  <a:p>
                    <a:r>
                      <a:rPr lang="en-US"/>
                      <a:t>1.4</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1994/1995</c:v>
                </c:pt>
                <c:pt idx="1">
                  <c:v>1998/1999</c:v>
                </c:pt>
                <c:pt idx="2">
                  <c:v>2003/2004</c:v>
                </c:pt>
                <c:pt idx="3">
                  <c:v>2005/2006</c:v>
                </c:pt>
                <c:pt idx="4">
                  <c:v>2006/2007</c:v>
                </c:pt>
                <c:pt idx="5">
                  <c:v>2009/2010</c:v>
                </c:pt>
              </c:strCache>
            </c:strRef>
          </c:cat>
          <c:val>
            <c:numRef>
              <c:f>Sheet1!$B$3:$G$3</c:f>
              <c:numCache>
                <c:formatCode>General</c:formatCode>
                <c:ptCount val="6"/>
                <c:pt idx="0">
                  <c:v>5.9</c:v>
                </c:pt>
                <c:pt idx="1">
                  <c:v>0.60000000000000064</c:v>
                </c:pt>
                <c:pt idx="2">
                  <c:v>0.9</c:v>
                </c:pt>
                <c:pt idx="3">
                  <c:v>0.60000000000000064</c:v>
                </c:pt>
                <c:pt idx="4">
                  <c:v>1</c:v>
                </c:pt>
                <c:pt idx="5">
                  <c:v>1.4</c:v>
                </c:pt>
              </c:numCache>
            </c:numRef>
          </c:val>
        </c:ser>
        <c:dLbls>
          <c:showVal val="1"/>
        </c:dLbls>
        <c:axId val="108089728"/>
        <c:axId val="108092800"/>
      </c:barChart>
      <c:catAx>
        <c:axId val="108089728"/>
        <c:scaling>
          <c:orientation val="minMax"/>
        </c:scaling>
        <c:axPos val="b"/>
        <c:title>
          <c:tx>
            <c:rich>
              <a:bodyPr/>
              <a:lstStyle/>
              <a:p>
                <a:pPr>
                  <a:defRPr sz="900" b="1" i="0" u="none" strike="noStrike" baseline="0">
                    <a:solidFill>
                      <a:srgbClr val="000000"/>
                    </a:solidFill>
                    <a:latin typeface="Arial"/>
                    <a:ea typeface="Arial"/>
                    <a:cs typeface="Arial"/>
                  </a:defRPr>
                </a:pPr>
                <a:r>
                  <a:rPr lang="en-US"/>
                  <a:t>Scholastic Year</a:t>
                </a:r>
              </a:p>
            </c:rich>
          </c:tx>
          <c:layout>
            <c:manualLayout>
              <c:xMode val="edge"/>
              <c:yMode val="edge"/>
              <c:x val="0.46416938110749345"/>
              <c:y val="0.9186746987951842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092800"/>
        <c:crosses val="autoZero"/>
        <c:auto val="1"/>
        <c:lblAlgn val="ctr"/>
        <c:lblOffset val="100"/>
        <c:tickLblSkip val="1"/>
        <c:tickMarkSkip val="1"/>
      </c:catAx>
      <c:valAx>
        <c:axId val="108092800"/>
        <c:scaling>
          <c:orientation val="minMax"/>
          <c:max val="7"/>
        </c:scaling>
        <c:axPos val="l"/>
        <c:title>
          <c:tx>
            <c:rich>
              <a:bodyPr/>
              <a:lstStyle/>
              <a:p>
                <a:pPr>
                  <a:defRPr sz="900" b="1" i="0" u="none" strike="noStrike" baseline="0">
                    <a:solidFill>
                      <a:srgbClr val="000000"/>
                    </a:solidFill>
                    <a:latin typeface="Arial"/>
                    <a:ea typeface="Arial"/>
                    <a:cs typeface="Arial"/>
                  </a:defRPr>
                </a:pPr>
                <a:r>
                  <a:rPr lang="en-US"/>
                  <a:t>Percentage</a:t>
                </a:r>
              </a:p>
            </c:rich>
          </c:tx>
          <c:layout>
            <c:manualLayout>
              <c:xMode val="edge"/>
              <c:yMode val="edge"/>
              <c:x val="1.4657980456026058E-2"/>
              <c:y val="0.34036144578313254"/>
            </c:manualLayout>
          </c:layout>
          <c:spPr>
            <a:noFill/>
            <a:ln w="25399">
              <a:noFill/>
            </a:ln>
          </c:spPr>
        </c:title>
        <c:numFmt formatCode="General"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8089728"/>
        <c:crosses val="autoZero"/>
        <c:crossBetween val="between"/>
        <c:majorUnit val="1"/>
        <c:minorUnit val="0.2"/>
      </c:valAx>
      <c:spPr>
        <a:noFill/>
        <a:ln w="25399">
          <a:noFill/>
        </a:ln>
      </c:spPr>
    </c:plotArea>
    <c:legend>
      <c:legendPos val="r"/>
      <c:layout>
        <c:manualLayout>
          <c:xMode val="edge"/>
          <c:yMode val="edge"/>
          <c:x val="0.37296416938111004"/>
          <c:y val="8.1325301204819567E-2"/>
          <c:w val="0.43485342019543982"/>
          <c:h val="0.11144578313253012"/>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700">
      <a:solidFill>
        <a:srgbClr val="000000"/>
      </a:solidFill>
      <a:prstDash val="solid"/>
    </a:ln>
    <a:effectLst>
      <a:outerShdw blurRad="50800" dist="50800" dir="5400000" algn="ctr" rotWithShape="0">
        <a:schemeClr val="tx1"/>
      </a:outerShdw>
    </a:effectLst>
  </c:spPr>
  <c:txPr>
    <a:bodyPr/>
    <a:lstStyle/>
    <a:p>
      <a:pPr>
        <a:defRPr sz="1450"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623987034035657E-2"/>
          <c:y val="6.0200668896321113E-2"/>
          <c:w val="0.8719611021069692"/>
          <c:h val="0.77257525083612333"/>
        </c:manualLayout>
      </c:layout>
      <c:barChart>
        <c:barDir val="col"/>
        <c:grouping val="clustered"/>
        <c:ser>
          <c:idx val="0"/>
          <c:order val="0"/>
          <c:tx>
            <c:strRef>
              <c:f>Sheet1!$A$2</c:f>
              <c:strCache>
                <c:ptCount val="1"/>
                <c:pt idx="0">
                  <c:v>West Bank</c:v>
                </c:pt>
              </c:strCache>
            </c:strRef>
          </c:tx>
          <c:spPr>
            <a:solidFill>
              <a:srgbClr val="993366"/>
            </a:solidFill>
            <a:ln w="12699">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2.7</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2.0</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0.8</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0.7</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0.8</a:t>
                    </a:r>
                  </a:p>
                </c:rich>
              </c:tx>
              <c:spPr>
                <a:noFill/>
                <a:ln w="25399">
                  <a:noFill/>
                </a:ln>
              </c:spPr>
            </c:dLbl>
            <c:dLbl>
              <c:idx val="5"/>
              <c:tx>
                <c:rich>
                  <a:bodyPr/>
                  <a:lstStyle/>
                  <a:p>
                    <a:r>
                      <a:rPr lang="en-US"/>
                      <a:t>0.6</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1995/1996</c:v>
                </c:pt>
                <c:pt idx="1">
                  <c:v>1998/1999</c:v>
                </c:pt>
                <c:pt idx="2">
                  <c:v>2003/2004</c:v>
                </c:pt>
                <c:pt idx="3">
                  <c:v>2005/2006</c:v>
                </c:pt>
                <c:pt idx="4">
                  <c:v>2006/2007</c:v>
                </c:pt>
                <c:pt idx="5">
                  <c:v>2009/2010</c:v>
                </c:pt>
              </c:strCache>
            </c:strRef>
          </c:cat>
          <c:val>
            <c:numRef>
              <c:f>Sheet1!$B$2:$G$2</c:f>
              <c:numCache>
                <c:formatCode>General</c:formatCode>
                <c:ptCount val="6"/>
                <c:pt idx="0">
                  <c:v>2.7</c:v>
                </c:pt>
                <c:pt idx="1">
                  <c:v>2</c:v>
                </c:pt>
                <c:pt idx="2">
                  <c:v>0.8</c:v>
                </c:pt>
                <c:pt idx="3">
                  <c:v>0.70000000000000062</c:v>
                </c:pt>
                <c:pt idx="4">
                  <c:v>0.8</c:v>
                </c:pt>
                <c:pt idx="5">
                  <c:v>0.60000000000000064</c:v>
                </c:pt>
              </c:numCache>
            </c:numRef>
          </c:val>
        </c:ser>
        <c:ser>
          <c:idx val="1"/>
          <c:order val="1"/>
          <c:tx>
            <c:strRef>
              <c:f>Sheet1!$A$3</c:f>
              <c:strCache>
                <c:ptCount val="1"/>
                <c:pt idx="0">
                  <c:v>Gaza Strip</c:v>
                </c:pt>
              </c:strCache>
            </c:strRef>
          </c:tx>
          <c:spPr>
            <a:solidFill>
              <a:srgbClr val="9999FF"/>
            </a:solidFill>
            <a:ln w="12699">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2.2</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1.0</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0.6</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0.5</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1.0</a:t>
                    </a:r>
                  </a:p>
                </c:rich>
              </c:tx>
              <c:spPr>
                <a:noFill/>
                <a:ln w="25399">
                  <a:noFill/>
                </a:ln>
              </c:spPr>
            </c:dLbl>
            <c:dLbl>
              <c:idx val="5"/>
              <c:tx>
                <c:rich>
                  <a:bodyPr/>
                  <a:lstStyle/>
                  <a:p>
                    <a:r>
                      <a:rPr lang="en-US"/>
                      <a:t>1.2</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1995/1996</c:v>
                </c:pt>
                <c:pt idx="1">
                  <c:v>1998/1999</c:v>
                </c:pt>
                <c:pt idx="2">
                  <c:v>2003/2004</c:v>
                </c:pt>
                <c:pt idx="3">
                  <c:v>2005/2006</c:v>
                </c:pt>
                <c:pt idx="4">
                  <c:v>2006/2007</c:v>
                </c:pt>
                <c:pt idx="5">
                  <c:v>2009/2010</c:v>
                </c:pt>
              </c:strCache>
            </c:strRef>
          </c:cat>
          <c:val>
            <c:numRef>
              <c:f>Sheet1!$B$3:$G$3</c:f>
              <c:numCache>
                <c:formatCode>General</c:formatCode>
                <c:ptCount val="6"/>
                <c:pt idx="0">
                  <c:v>2.2000000000000002</c:v>
                </c:pt>
                <c:pt idx="1">
                  <c:v>1</c:v>
                </c:pt>
                <c:pt idx="2">
                  <c:v>0.60000000000000064</c:v>
                </c:pt>
                <c:pt idx="3">
                  <c:v>0.5</c:v>
                </c:pt>
                <c:pt idx="4">
                  <c:v>1</c:v>
                </c:pt>
                <c:pt idx="5">
                  <c:v>1.2</c:v>
                </c:pt>
              </c:numCache>
            </c:numRef>
          </c:val>
        </c:ser>
        <c:dLbls>
          <c:showVal val="1"/>
        </c:dLbls>
        <c:axId val="99902208"/>
        <c:axId val="99904128"/>
      </c:barChart>
      <c:catAx>
        <c:axId val="99902208"/>
        <c:scaling>
          <c:orientation val="minMax"/>
        </c:scaling>
        <c:axPos val="b"/>
        <c:title>
          <c:tx>
            <c:rich>
              <a:bodyPr/>
              <a:lstStyle/>
              <a:p>
                <a:pPr>
                  <a:defRPr sz="900" b="1" i="0" u="none" strike="noStrike" baseline="0">
                    <a:solidFill>
                      <a:srgbClr val="000000"/>
                    </a:solidFill>
                    <a:latin typeface="Arial"/>
                    <a:ea typeface="Arial"/>
                    <a:cs typeface="Arial"/>
                  </a:defRPr>
                </a:pPr>
                <a:r>
                  <a:rPr lang="en-US"/>
                  <a:t>Scholastic Year</a:t>
                </a:r>
              </a:p>
            </c:rich>
          </c:tx>
          <c:layout>
            <c:manualLayout>
              <c:xMode val="edge"/>
              <c:yMode val="edge"/>
              <c:x val="0.43435980551053482"/>
              <c:y val="0.9163879598662154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9904128"/>
        <c:crosses val="autoZero"/>
        <c:auto val="1"/>
        <c:lblAlgn val="ctr"/>
        <c:lblOffset val="100"/>
        <c:tickLblSkip val="1"/>
        <c:tickMarkSkip val="1"/>
      </c:catAx>
      <c:valAx>
        <c:axId val="99904128"/>
        <c:scaling>
          <c:orientation val="minMax"/>
          <c:max val="4"/>
        </c:scaling>
        <c:axPos val="l"/>
        <c:title>
          <c:tx>
            <c:rich>
              <a:bodyPr/>
              <a:lstStyle/>
              <a:p>
                <a:pPr>
                  <a:defRPr sz="900" b="1" i="0" u="none" strike="noStrike" baseline="0">
                    <a:solidFill>
                      <a:srgbClr val="000000"/>
                    </a:solidFill>
                    <a:latin typeface="Arial"/>
                    <a:ea typeface="Arial"/>
                    <a:cs typeface="Arial"/>
                  </a:defRPr>
                </a:pPr>
                <a:r>
                  <a:rPr lang="en-US"/>
                  <a:t>Percentage</a:t>
                </a:r>
              </a:p>
            </c:rich>
          </c:tx>
          <c:layout>
            <c:manualLayout>
              <c:xMode val="edge"/>
              <c:yMode val="edge"/>
              <c:x val="1.7828200972447326E-2"/>
              <c:y val="0.35451505016722407"/>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99902208"/>
        <c:crosses val="autoZero"/>
        <c:crossBetween val="between"/>
        <c:majorUnit val="1"/>
        <c:minorUnit val="0.2"/>
      </c:valAx>
      <c:spPr>
        <a:noFill/>
        <a:ln w="25399">
          <a:noFill/>
        </a:ln>
      </c:spPr>
    </c:plotArea>
    <c:legend>
      <c:legendPos val="r"/>
      <c:layout>
        <c:manualLayout>
          <c:xMode val="edge"/>
          <c:yMode val="edge"/>
          <c:x val="0.67423014586709851"/>
          <c:y val="9.0301003344481628E-2"/>
          <c:w val="0.27876823338735984"/>
          <c:h val="0.15384615384615508"/>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2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76237623762439"/>
          <c:y val="5.6910569105691054E-2"/>
          <c:w val="0.82343234323432346"/>
          <c:h val="0.72628726287262857"/>
        </c:manualLayout>
      </c:layout>
      <c:barChart>
        <c:barDir val="col"/>
        <c:grouping val="clustered"/>
        <c:ser>
          <c:idx val="0"/>
          <c:order val="0"/>
          <c:tx>
            <c:strRef>
              <c:f>Sheet1!$A$2</c:f>
              <c:strCache>
                <c:ptCount val="1"/>
                <c:pt idx="0">
                  <c:v>West Bank</c:v>
                </c:pt>
              </c:strCache>
            </c:strRef>
          </c:tx>
          <c:spPr>
            <a:solidFill>
              <a:srgbClr val="993366"/>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9.8</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7.8</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3.4</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2.9</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2.9</a:t>
                    </a:r>
                  </a:p>
                </c:rich>
              </c:tx>
              <c:spPr>
                <a:noFill/>
                <a:ln w="25399">
                  <a:noFill/>
                </a:ln>
              </c:spPr>
            </c:dLbl>
            <c:dLbl>
              <c:idx val="5"/>
              <c:tx>
                <c:rich>
                  <a:bodyPr/>
                  <a:lstStyle/>
                  <a:p>
                    <a:r>
                      <a:rPr lang="en-US"/>
                      <a:t>2.4</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1995/1996</c:v>
                </c:pt>
                <c:pt idx="1">
                  <c:v>1998/1999</c:v>
                </c:pt>
                <c:pt idx="2">
                  <c:v>2003/2004</c:v>
                </c:pt>
                <c:pt idx="3">
                  <c:v>2005/2006</c:v>
                </c:pt>
                <c:pt idx="4">
                  <c:v>2006/2007</c:v>
                </c:pt>
                <c:pt idx="5">
                  <c:v>2009/2010</c:v>
                </c:pt>
              </c:strCache>
            </c:strRef>
          </c:cat>
          <c:val>
            <c:numRef>
              <c:f>Sheet1!$B$2:$G$2</c:f>
              <c:numCache>
                <c:formatCode>General</c:formatCode>
                <c:ptCount val="6"/>
                <c:pt idx="0">
                  <c:v>9.8000000000000007</c:v>
                </c:pt>
                <c:pt idx="1">
                  <c:v>7.8</c:v>
                </c:pt>
                <c:pt idx="2">
                  <c:v>3.4</c:v>
                </c:pt>
                <c:pt idx="3">
                  <c:v>2.9</c:v>
                </c:pt>
                <c:pt idx="4">
                  <c:v>2.9</c:v>
                </c:pt>
                <c:pt idx="5">
                  <c:v>2.4</c:v>
                </c:pt>
              </c:numCache>
            </c:numRef>
          </c:val>
        </c:ser>
        <c:ser>
          <c:idx val="1"/>
          <c:order val="1"/>
          <c:tx>
            <c:strRef>
              <c:f>Sheet1!$A$3</c:f>
              <c:strCache>
                <c:ptCount val="1"/>
                <c:pt idx="0">
                  <c:v>Gaza Strip</c:v>
                </c:pt>
              </c:strCache>
            </c:strRef>
          </c:tx>
          <c:spPr>
            <a:solidFill>
              <a:srgbClr val="9999FF"/>
            </a:solidFill>
            <a:ln w="12700">
              <a:solidFill>
                <a:srgbClr val="000000"/>
              </a:solidFill>
              <a:prstDash val="solid"/>
            </a:ln>
          </c:spPr>
          <c:dLbls>
            <c:dLbl>
              <c:idx val="0"/>
              <c:tx>
                <c:rich>
                  <a:bodyPr/>
                  <a:lstStyle/>
                  <a:p>
                    <a:pPr>
                      <a:defRPr sz="900" b="0" i="0" u="none" strike="noStrike" baseline="0">
                        <a:solidFill>
                          <a:srgbClr val="000000"/>
                        </a:solidFill>
                        <a:latin typeface="Arial"/>
                        <a:ea typeface="Arial"/>
                        <a:cs typeface="Arial"/>
                      </a:defRPr>
                    </a:pPr>
                    <a:r>
                      <a:rPr lang="ar-SA"/>
                      <a:t>5.1</a:t>
                    </a:r>
                  </a:p>
                </c:rich>
              </c:tx>
              <c:spPr>
                <a:noFill/>
                <a:ln w="25399">
                  <a:noFill/>
                </a:ln>
              </c:spPr>
            </c:dLbl>
            <c:dLbl>
              <c:idx val="1"/>
              <c:tx>
                <c:rich>
                  <a:bodyPr/>
                  <a:lstStyle/>
                  <a:p>
                    <a:pPr>
                      <a:defRPr sz="900" b="0" i="0" u="none" strike="noStrike" baseline="0">
                        <a:solidFill>
                          <a:srgbClr val="000000"/>
                        </a:solidFill>
                        <a:latin typeface="Arial"/>
                        <a:ea typeface="Arial"/>
                        <a:cs typeface="Arial"/>
                      </a:defRPr>
                    </a:pPr>
                    <a:r>
                      <a:rPr lang="ar-SA"/>
                      <a:t>1.8</a:t>
                    </a:r>
                  </a:p>
                </c:rich>
              </c:tx>
              <c:spPr>
                <a:noFill/>
                <a:ln w="25399">
                  <a:noFill/>
                </a:ln>
              </c:spPr>
            </c:dLbl>
            <c:dLbl>
              <c:idx val="2"/>
              <c:tx>
                <c:rich>
                  <a:bodyPr/>
                  <a:lstStyle/>
                  <a:p>
                    <a:pPr>
                      <a:defRPr sz="900" b="0" i="0" u="none" strike="noStrike" baseline="0">
                        <a:solidFill>
                          <a:srgbClr val="000000"/>
                        </a:solidFill>
                        <a:latin typeface="Arial"/>
                        <a:ea typeface="Arial"/>
                        <a:cs typeface="Arial"/>
                      </a:defRPr>
                    </a:pPr>
                    <a:r>
                      <a:rPr lang="ar-SA"/>
                      <a:t>2.3</a:t>
                    </a:r>
                  </a:p>
                </c:rich>
              </c:tx>
              <c:spPr>
                <a:noFill/>
                <a:ln w="25399">
                  <a:noFill/>
                </a:ln>
              </c:spPr>
            </c:dLbl>
            <c:dLbl>
              <c:idx val="3"/>
              <c:tx>
                <c:rich>
                  <a:bodyPr/>
                  <a:lstStyle/>
                  <a:p>
                    <a:pPr>
                      <a:defRPr sz="900" b="0" i="0" u="none" strike="noStrike" baseline="0">
                        <a:solidFill>
                          <a:srgbClr val="000000"/>
                        </a:solidFill>
                        <a:latin typeface="Arial"/>
                        <a:ea typeface="Arial"/>
                        <a:cs typeface="Arial"/>
                      </a:defRPr>
                    </a:pPr>
                    <a:r>
                      <a:rPr lang="ar-SA"/>
                      <a:t>2.1</a:t>
                    </a:r>
                  </a:p>
                </c:rich>
              </c:tx>
              <c:spPr>
                <a:noFill/>
                <a:ln w="25399">
                  <a:noFill/>
                </a:ln>
              </c:spPr>
            </c:dLbl>
            <c:dLbl>
              <c:idx val="4"/>
              <c:tx>
                <c:rich>
                  <a:bodyPr/>
                  <a:lstStyle/>
                  <a:p>
                    <a:pPr>
                      <a:defRPr sz="900" b="0" i="0" u="none" strike="noStrike" baseline="0">
                        <a:solidFill>
                          <a:srgbClr val="000000"/>
                        </a:solidFill>
                        <a:latin typeface="Arial"/>
                        <a:ea typeface="Arial"/>
                        <a:cs typeface="Arial"/>
                      </a:defRPr>
                    </a:pPr>
                    <a:r>
                      <a:rPr lang="ar-SA"/>
                      <a:t>4.1</a:t>
                    </a:r>
                  </a:p>
                </c:rich>
              </c:tx>
              <c:spPr>
                <a:noFill/>
                <a:ln w="25399">
                  <a:noFill/>
                </a:ln>
              </c:spPr>
            </c:dLbl>
            <c:dLbl>
              <c:idx val="5"/>
              <c:tx>
                <c:rich>
                  <a:bodyPr/>
                  <a:lstStyle/>
                  <a:p>
                    <a:r>
                      <a:rPr lang="en-US"/>
                      <a:t>1.4</a:t>
                    </a:r>
                  </a:p>
                </c:rich>
              </c:tx>
              <c:showVal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Sheet1!$B$1:$G$1</c:f>
              <c:strCache>
                <c:ptCount val="6"/>
                <c:pt idx="0">
                  <c:v>1995/1996</c:v>
                </c:pt>
                <c:pt idx="1">
                  <c:v>1998/1999</c:v>
                </c:pt>
                <c:pt idx="2">
                  <c:v>2003/2004</c:v>
                </c:pt>
                <c:pt idx="3">
                  <c:v>2005/2006</c:v>
                </c:pt>
                <c:pt idx="4">
                  <c:v>2006/2007</c:v>
                </c:pt>
                <c:pt idx="5">
                  <c:v>2009/2010</c:v>
                </c:pt>
              </c:strCache>
            </c:strRef>
          </c:cat>
          <c:val>
            <c:numRef>
              <c:f>Sheet1!$B$3:$G$3</c:f>
              <c:numCache>
                <c:formatCode>General</c:formatCode>
                <c:ptCount val="6"/>
                <c:pt idx="0">
                  <c:v>5.0999999999999996</c:v>
                </c:pt>
                <c:pt idx="1">
                  <c:v>1.8</c:v>
                </c:pt>
                <c:pt idx="2">
                  <c:v>2.2999999999999998</c:v>
                </c:pt>
                <c:pt idx="3">
                  <c:v>2.1</c:v>
                </c:pt>
                <c:pt idx="4">
                  <c:v>4.0999999999999996</c:v>
                </c:pt>
                <c:pt idx="5">
                  <c:v>1.4</c:v>
                </c:pt>
              </c:numCache>
            </c:numRef>
          </c:val>
        </c:ser>
        <c:dLbls>
          <c:showVal val="1"/>
        </c:dLbls>
        <c:axId val="106381312"/>
        <c:axId val="106383232"/>
      </c:barChart>
      <c:catAx>
        <c:axId val="106381312"/>
        <c:scaling>
          <c:orientation val="minMax"/>
        </c:scaling>
        <c:axPos val="b"/>
        <c:title>
          <c:tx>
            <c:rich>
              <a:bodyPr/>
              <a:lstStyle/>
              <a:p>
                <a:pPr>
                  <a:defRPr sz="900" b="1" i="0" u="none" strike="noStrike" baseline="0">
                    <a:solidFill>
                      <a:srgbClr val="000000"/>
                    </a:solidFill>
                    <a:latin typeface="Arial"/>
                    <a:ea typeface="Arial"/>
                    <a:cs typeface="Arial"/>
                  </a:defRPr>
                </a:pPr>
                <a:r>
                  <a:rPr lang="en-US"/>
                  <a:t>Scholastic Year</a:t>
                </a:r>
              </a:p>
            </c:rich>
          </c:tx>
          <c:layout>
            <c:manualLayout>
              <c:xMode val="edge"/>
              <c:yMode val="edge"/>
              <c:x val="0.41089108910891087"/>
              <c:y val="0.89430894308943087"/>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6383232"/>
        <c:crosses val="autoZero"/>
        <c:auto val="1"/>
        <c:lblAlgn val="ctr"/>
        <c:lblOffset val="100"/>
        <c:tickLblSkip val="1"/>
        <c:tickMarkSkip val="1"/>
      </c:catAx>
      <c:valAx>
        <c:axId val="106383232"/>
        <c:scaling>
          <c:orientation val="minMax"/>
          <c:max val="12"/>
        </c:scaling>
        <c:axPos val="l"/>
        <c:title>
          <c:tx>
            <c:rich>
              <a:bodyPr/>
              <a:lstStyle/>
              <a:p>
                <a:pPr>
                  <a:defRPr sz="900" b="1" i="0" u="none" strike="noStrike" baseline="0">
                    <a:solidFill>
                      <a:srgbClr val="000000"/>
                    </a:solidFill>
                    <a:latin typeface="Arial"/>
                    <a:ea typeface="Arial"/>
                    <a:cs typeface="Arial"/>
                  </a:defRPr>
                </a:pPr>
                <a:r>
                  <a:rPr lang="en-US"/>
                  <a:t>Percentage</a:t>
                </a:r>
              </a:p>
            </c:rich>
          </c:tx>
          <c:layout>
            <c:manualLayout>
              <c:xMode val="edge"/>
              <c:yMode val="edge"/>
              <c:x val="2.9702970297029802E-2"/>
              <c:y val="0.32249322493225108"/>
            </c:manualLayout>
          </c:layout>
          <c:spPr>
            <a:noFill/>
            <a:ln w="25399">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6381312"/>
        <c:crosses val="autoZero"/>
        <c:crossBetween val="between"/>
        <c:majorUnit val="2"/>
        <c:minorUnit val="0.4"/>
      </c:valAx>
      <c:spPr>
        <a:noFill/>
        <a:ln w="12700">
          <a:solidFill>
            <a:srgbClr val="808080"/>
          </a:solidFill>
          <a:prstDash val="solid"/>
        </a:ln>
      </c:spPr>
    </c:plotArea>
    <c:legend>
      <c:legendPos val="r"/>
      <c:layout>
        <c:manualLayout>
          <c:xMode val="edge"/>
          <c:yMode val="edge"/>
          <c:x val="0.60726072607260728"/>
          <c:y val="8.4010840108401721E-2"/>
          <c:w val="0.31683168316831828"/>
          <c:h val="0.11924119241192457"/>
        </c:manualLayout>
      </c:layout>
      <c:spPr>
        <a:noFill/>
        <a:ln w="25399">
          <a:noFill/>
        </a:ln>
      </c:spPr>
      <c:txPr>
        <a:bodyPr/>
        <a:lstStyle/>
        <a:p>
          <a:pPr>
            <a:defRPr sz="920" b="0" i="0" u="none" strike="noStrike" baseline="0">
              <a:solidFill>
                <a:srgbClr val="000000"/>
              </a:solidFill>
              <a:latin typeface="Times New Roman"/>
              <a:ea typeface="Times New Roman"/>
              <a:cs typeface="Times New Roman"/>
            </a:defRPr>
          </a:pPr>
          <a:endParaRPr lang="ar-SA"/>
        </a:p>
      </c:txPr>
    </c:legend>
    <c:plotVisOnly val="1"/>
    <c:dispBlanksAs val="gap"/>
  </c:chart>
  <c:spPr>
    <a:noFill/>
    <a:ln w="12700">
      <a:solidFill>
        <a:srgbClr val="000000"/>
      </a:solidFill>
      <a:prstDash val="solid"/>
    </a:ln>
    <a:effectLst>
      <a:outerShdw blurRad="50800" dist="50800" dir="5400000" algn="ctr" rotWithShape="0">
        <a:schemeClr val="tx1"/>
      </a:outerShdw>
    </a:effectLst>
  </c:spPr>
  <c:txPr>
    <a:bodyPr/>
    <a:lstStyle/>
    <a:p>
      <a:pPr>
        <a:defRPr sz="162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372881355932204"/>
          <c:y val="0.14540059347181086"/>
          <c:w val="0.84237288135593158"/>
          <c:h val="0.64985163204748619"/>
        </c:manualLayout>
      </c:layout>
      <c:barChart>
        <c:barDir val="col"/>
        <c:grouping val="clustered"/>
        <c:ser>
          <c:idx val="1"/>
          <c:order val="0"/>
          <c:tx>
            <c:strRef>
              <c:f>Sheet1!$A$3</c:f>
              <c:strCache>
                <c:ptCount val="1"/>
                <c:pt idx="0">
                  <c:v>Basic Stage</c:v>
                </c:pt>
              </c:strCache>
            </c:strRef>
          </c:tx>
          <c:spPr>
            <a:solidFill>
              <a:srgbClr val="FFFFFF"/>
            </a:solidFill>
            <a:ln w="12687">
              <a:solidFill>
                <a:srgbClr val="000000"/>
              </a:solidFill>
              <a:prstDash val="solid"/>
            </a:ln>
          </c:spPr>
          <c:dLbls>
            <c:dLbl>
              <c:idx val="1"/>
              <c:layout>
                <c:manualLayout>
                  <c:x val="-1.1317714796517343E-2"/>
                  <c:y val="-9.3510099911130809E-3"/>
                </c:manualLayout>
              </c:layout>
              <c:dLblPos val="outEnd"/>
              <c:showVal val="1"/>
            </c:dLbl>
            <c:dLbl>
              <c:idx val="2"/>
              <c:layout>
                <c:manualLayout>
                  <c:x val="-5.9505165559704731E-3"/>
                  <c:y val="-1.139121960782692E-2"/>
                </c:manualLayout>
              </c:layout>
              <c:dLblPos val="outEnd"/>
              <c:showVal val="1"/>
            </c:dLbl>
            <c:dLbl>
              <c:idx val="3"/>
              <c:layout>
                <c:manualLayout>
                  <c:x val="-9.0577194333293851E-3"/>
                  <c:y val="-6.3691029188879126E-3"/>
                </c:manualLayout>
              </c:layout>
              <c:dLblPos val="outEnd"/>
              <c:showVal val="1"/>
            </c:dLbl>
            <c:numFmt formatCode="0.0" sourceLinked="0"/>
            <c:spPr>
              <a:noFill/>
              <a:ln w="25375">
                <a:noFill/>
              </a:ln>
            </c:spPr>
            <c:txPr>
              <a:bodyPr/>
              <a:lstStyle/>
              <a:p>
                <a:pPr>
                  <a:defRPr sz="924" b="0" i="0" u="none" strike="noStrike" baseline="0">
                    <a:solidFill>
                      <a:srgbClr val="000000"/>
                    </a:solidFill>
                    <a:latin typeface="Arial"/>
                    <a:ea typeface="Arial"/>
                    <a:cs typeface="Arial"/>
                  </a:defRPr>
                </a:pPr>
                <a:endParaRPr lang="ar-SA"/>
              </a:p>
            </c:txPr>
            <c:dLblPos val="outEnd"/>
            <c:showVal val="1"/>
          </c:dLbls>
          <c:cat>
            <c:strRef>
              <c:f>Sheet1!$B$1:$G$1</c:f>
              <c:strCache>
                <c:ptCount val="6"/>
                <c:pt idx="0">
                  <c:v>1996/1995</c:v>
                </c:pt>
                <c:pt idx="1">
                  <c:v>2000/1999</c:v>
                </c:pt>
                <c:pt idx="2">
                  <c:v>2006/2005</c:v>
                </c:pt>
                <c:pt idx="3">
                  <c:v>2008/2007</c:v>
                </c:pt>
                <c:pt idx="4">
                  <c:v>2009/2008</c:v>
                </c:pt>
                <c:pt idx="5">
                  <c:v>2011/2010</c:v>
                </c:pt>
              </c:strCache>
            </c:strRef>
          </c:cat>
          <c:val>
            <c:numRef>
              <c:f>Sheet1!$B$3:$G$3</c:f>
              <c:numCache>
                <c:formatCode>General</c:formatCode>
                <c:ptCount val="6"/>
                <c:pt idx="0">
                  <c:v>37.5</c:v>
                </c:pt>
                <c:pt idx="1">
                  <c:v>37.5</c:v>
                </c:pt>
                <c:pt idx="2">
                  <c:v>35</c:v>
                </c:pt>
                <c:pt idx="3">
                  <c:v>33.300000000000004</c:v>
                </c:pt>
                <c:pt idx="4">
                  <c:v>32.700000000000003</c:v>
                </c:pt>
                <c:pt idx="5" formatCode="0.0">
                  <c:v>31.2</c:v>
                </c:pt>
              </c:numCache>
            </c:numRef>
          </c:val>
        </c:ser>
        <c:ser>
          <c:idx val="2"/>
          <c:order val="1"/>
          <c:tx>
            <c:strRef>
              <c:f>Sheet1!$A$4</c:f>
              <c:strCache>
                <c:ptCount val="1"/>
                <c:pt idx="0">
                  <c:v>Seconday Stage</c:v>
                </c:pt>
              </c:strCache>
            </c:strRef>
          </c:tx>
          <c:spPr>
            <a:solidFill>
              <a:srgbClr val="0000FF"/>
            </a:solidFill>
            <a:ln w="12687">
              <a:solidFill>
                <a:srgbClr val="000000"/>
              </a:solidFill>
              <a:prstDash val="solid"/>
            </a:ln>
          </c:spPr>
          <c:dLbls>
            <c:dLbl>
              <c:idx val="0"/>
              <c:layout>
                <c:manualLayout>
                  <c:x val="1.5571126682237875E-2"/>
                  <c:y val="0"/>
                </c:manualLayout>
              </c:layout>
              <c:dLblPos val="outEnd"/>
              <c:showVal val="1"/>
            </c:dLbl>
            <c:dLbl>
              <c:idx val="1"/>
              <c:layout>
                <c:manualLayout>
                  <c:x val="1.3346680013346681E-2"/>
                  <c:y val="0"/>
                </c:manualLayout>
              </c:layout>
              <c:dLblPos val="outEnd"/>
              <c:showVal val="1"/>
            </c:dLbl>
            <c:dLbl>
              <c:idx val="2"/>
              <c:layout>
                <c:manualLayout>
                  <c:x val="1.3346680013346681E-2"/>
                  <c:y val="0"/>
                </c:manualLayout>
              </c:layout>
              <c:dLblPos val="outEnd"/>
              <c:showVal val="1"/>
            </c:dLbl>
            <c:dLbl>
              <c:idx val="3"/>
              <c:layout>
                <c:manualLayout>
                  <c:x val="1.3346680013346601E-2"/>
                  <c:y val="0"/>
                </c:manualLayout>
              </c:layout>
              <c:dLblPos val="outEnd"/>
              <c:showVal val="1"/>
            </c:dLbl>
            <c:dLbl>
              <c:idx val="4"/>
              <c:layout>
                <c:manualLayout>
                  <c:x val="1.1122233344455631E-2"/>
                  <c:y val="0"/>
                </c:manualLayout>
              </c:layout>
              <c:dLblPos val="outEnd"/>
              <c:showVal val="1"/>
            </c:dLbl>
            <c:dLbl>
              <c:idx val="5"/>
              <c:layout>
                <c:manualLayout>
                  <c:x val="1.3346680013346681E-2"/>
                  <c:y val="0"/>
                </c:manualLayout>
              </c:layout>
              <c:dLblPos val="outEnd"/>
              <c:showVal val="1"/>
            </c:dLbl>
            <c:numFmt formatCode="0.0" sourceLinked="0"/>
            <c:spPr>
              <a:noFill/>
              <a:ln w="25375">
                <a:noFill/>
              </a:ln>
            </c:spPr>
            <c:txPr>
              <a:bodyPr/>
              <a:lstStyle/>
              <a:p>
                <a:pPr>
                  <a:defRPr sz="899" b="0" i="0" u="none" strike="noStrike" baseline="0">
                    <a:solidFill>
                      <a:srgbClr val="000000"/>
                    </a:solidFill>
                    <a:latin typeface="Arial"/>
                    <a:ea typeface="Arial"/>
                    <a:cs typeface="Arial"/>
                  </a:defRPr>
                </a:pPr>
                <a:endParaRPr lang="ar-SA"/>
              </a:p>
            </c:txPr>
            <c:dLblPos val="outEnd"/>
            <c:showVal val="1"/>
          </c:dLbls>
          <c:cat>
            <c:strRef>
              <c:f>Sheet1!$B$1:$G$1</c:f>
              <c:strCache>
                <c:ptCount val="6"/>
                <c:pt idx="0">
                  <c:v>1996/1995</c:v>
                </c:pt>
                <c:pt idx="1">
                  <c:v>2000/1999</c:v>
                </c:pt>
                <c:pt idx="2">
                  <c:v>2006/2005</c:v>
                </c:pt>
                <c:pt idx="3">
                  <c:v>2008/2007</c:v>
                </c:pt>
                <c:pt idx="4">
                  <c:v>2009/2008</c:v>
                </c:pt>
                <c:pt idx="5">
                  <c:v>2011/2010</c:v>
                </c:pt>
              </c:strCache>
            </c:strRef>
          </c:cat>
          <c:val>
            <c:numRef>
              <c:f>Sheet1!$B$4:$G$4</c:f>
              <c:numCache>
                <c:formatCode>General</c:formatCode>
                <c:ptCount val="6"/>
                <c:pt idx="0">
                  <c:v>30.4</c:v>
                </c:pt>
                <c:pt idx="1">
                  <c:v>30.3</c:v>
                </c:pt>
                <c:pt idx="2">
                  <c:v>30.7</c:v>
                </c:pt>
                <c:pt idx="3">
                  <c:v>30.4</c:v>
                </c:pt>
                <c:pt idx="4">
                  <c:v>29.7</c:v>
                </c:pt>
                <c:pt idx="5" formatCode="0.0">
                  <c:v>28</c:v>
                </c:pt>
              </c:numCache>
            </c:numRef>
          </c:val>
        </c:ser>
        <c:axId val="106503168"/>
        <c:axId val="106542208"/>
      </c:barChart>
      <c:catAx>
        <c:axId val="106503168"/>
        <c:scaling>
          <c:orientation val="minMax"/>
        </c:scaling>
        <c:axPos val="b"/>
        <c:title>
          <c:tx>
            <c:rich>
              <a:bodyPr/>
              <a:lstStyle/>
              <a:p>
                <a:pPr>
                  <a:defRPr sz="899" b="1" i="0" u="none" strike="noStrike" baseline="0">
                    <a:solidFill>
                      <a:srgbClr val="000000"/>
                    </a:solidFill>
                    <a:latin typeface="Arial"/>
                    <a:ea typeface="Arial"/>
                    <a:cs typeface="Arial"/>
                  </a:defRPr>
                </a:pPr>
                <a:r>
                  <a:rPr lang="en-US"/>
                  <a:t>year</a:t>
                </a:r>
              </a:p>
            </c:rich>
          </c:tx>
          <c:layout>
            <c:manualLayout>
              <c:xMode val="edge"/>
              <c:yMode val="edge"/>
              <c:x val="0.51864406779661021"/>
              <c:y val="0.88130563798219663"/>
            </c:manualLayout>
          </c:layout>
          <c:spPr>
            <a:noFill/>
            <a:ln w="25375">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6542208"/>
        <c:crosses val="autoZero"/>
        <c:auto val="1"/>
        <c:lblAlgn val="ctr"/>
        <c:lblOffset val="100"/>
        <c:tickLblSkip val="1"/>
        <c:tickMarkSkip val="1"/>
      </c:catAx>
      <c:valAx>
        <c:axId val="106542208"/>
        <c:scaling>
          <c:orientation val="minMax"/>
        </c:scaling>
        <c:axPos val="l"/>
        <c:title>
          <c:tx>
            <c:rich>
              <a:bodyPr/>
              <a:lstStyle/>
              <a:p>
                <a:pPr>
                  <a:defRPr sz="899" b="1" i="0" u="none" strike="noStrike" baseline="0">
                    <a:solidFill>
                      <a:srgbClr val="000000"/>
                    </a:solidFill>
                    <a:latin typeface="Arial"/>
                    <a:ea typeface="Arial"/>
                    <a:cs typeface="Arial"/>
                  </a:defRPr>
                </a:pPr>
                <a:r>
                  <a:rPr lang="en-US"/>
                  <a:t>Rate</a:t>
                </a:r>
              </a:p>
            </c:rich>
          </c:tx>
          <c:layout>
            <c:manualLayout>
              <c:xMode val="edge"/>
              <c:yMode val="edge"/>
              <c:x val="4.0677966101694885E-2"/>
              <c:y val="0.42136498516320819"/>
            </c:manualLayout>
          </c:layout>
          <c:spPr>
            <a:noFill/>
            <a:ln w="25375">
              <a:noFill/>
            </a:ln>
          </c:spPr>
        </c:title>
        <c:numFmt formatCode="General" sourceLinked="1"/>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6503168"/>
        <c:crosses val="autoZero"/>
        <c:crossBetween val="between"/>
      </c:valAx>
      <c:spPr>
        <a:solidFill>
          <a:srgbClr val="FFFFFF"/>
        </a:solidFill>
        <a:ln w="25375">
          <a:noFill/>
        </a:ln>
      </c:spPr>
    </c:plotArea>
    <c:legend>
      <c:legendPos val="r"/>
      <c:layout>
        <c:manualLayout>
          <c:xMode val="edge"/>
          <c:yMode val="edge"/>
          <c:x val="0.80847457627118979"/>
          <c:y val="4.4510385756676582E-2"/>
          <c:w val="0.18983050847457628"/>
          <c:h val="0.12166172106825041"/>
        </c:manualLayout>
      </c:layout>
      <c:spPr>
        <a:noFill/>
        <a:ln w="3172">
          <a:solidFill>
            <a:srgbClr val="000000"/>
          </a:solidFill>
          <a:prstDash val="solid"/>
        </a:ln>
      </c:spPr>
      <c:txPr>
        <a:bodyPr/>
        <a:lstStyle/>
        <a:p>
          <a:pPr>
            <a:defRPr sz="824" b="1" i="0" u="none" strike="noStrike" baseline="0">
              <a:solidFill>
                <a:srgbClr val="000000"/>
              </a:solidFill>
              <a:latin typeface="Arial"/>
              <a:ea typeface="Arial"/>
              <a:cs typeface="Arial"/>
            </a:defRPr>
          </a:pPr>
          <a:endParaRPr lang="ar-SA"/>
        </a:p>
      </c:txPr>
    </c:legend>
    <c:plotVisOnly val="1"/>
    <c:dispBlanksAs val="gap"/>
  </c:chart>
  <c:spPr>
    <a:noFill/>
    <a:ln w="12687">
      <a:solidFill>
        <a:srgbClr val="000000"/>
      </a:solidFill>
      <a:prstDash val="solid"/>
    </a:ln>
  </c:spPr>
  <c:txPr>
    <a:bodyPr/>
    <a:lstStyle/>
    <a:p>
      <a:pPr>
        <a:defRPr sz="1474"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Chapter Three: State of Child’s Education</vt:lpstr>
    </vt:vector>
  </TitlesOfParts>
  <Company/>
  <LinksUpToDate>false</LinksUpToDate>
  <CharactersWithSpaces>13984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Three: State of Child’s Education</dc:title>
  <dc:subject/>
  <dc:creator>***</dc:creator>
  <cp:keywords/>
  <dc:description/>
  <cp:lastModifiedBy>faten</cp:lastModifiedBy>
  <cp:revision>31</cp:revision>
  <cp:lastPrinted>2012-04-02T05:29:00Z</cp:lastPrinted>
  <dcterms:created xsi:type="dcterms:W3CDTF">2012-01-19T08:21:00Z</dcterms:created>
  <dcterms:modified xsi:type="dcterms:W3CDTF">2012-04-02T05:29:00Z</dcterms:modified>
</cp:coreProperties>
</file>