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0EB" w:rsidRDefault="00031E25">
      <w:pPr>
        <w:jc w:val="center"/>
      </w:pPr>
      <w:r>
        <w:t>Chapter Two</w:t>
      </w:r>
    </w:p>
    <w:p w:rsidR="00CC30EB" w:rsidRDefault="00CC30EB">
      <w:pPr>
        <w:jc w:val="center"/>
      </w:pPr>
    </w:p>
    <w:p w:rsidR="00CC30EB" w:rsidRDefault="00031E25">
      <w:pPr>
        <w:bidi w:val="0"/>
        <w:jc w:val="center"/>
        <w:rPr>
          <w:b/>
          <w:bCs/>
          <w:color w:val="000000"/>
          <w:rtl/>
          <w:lang w:val="en-GB"/>
        </w:rPr>
      </w:pPr>
      <w:r>
        <w:rPr>
          <w:b/>
          <w:bCs/>
        </w:rPr>
        <w:t xml:space="preserve">Health </w:t>
      </w:r>
      <w:r>
        <w:rPr>
          <w:b/>
          <w:bCs/>
          <w:color w:val="000000"/>
        </w:rPr>
        <w:t>Status</w:t>
      </w:r>
    </w:p>
    <w:p w:rsidR="00CC30EB" w:rsidRDefault="00407E8C">
      <w:pPr>
        <w:rPr>
          <w:color w:val="000000"/>
          <w:rtl/>
          <w:lang w:val="en-GB"/>
        </w:rPr>
      </w:pPr>
      <w:r w:rsidRPr="00407E8C">
        <w:rPr>
          <w:noProof/>
          <w:color w:val="000000"/>
          <w:rtl/>
          <w:lang w:val="ar-SA"/>
        </w:rPr>
        <w:pict>
          <v:rect id="_x0000_s1030" style="position:absolute;left:0;text-align:left;margin-left:9pt;margin-top:12.35pt;width:441pt;height:79.8pt;z-index:251657728">
            <v:textbox style="mso-next-textbox:#_x0000_s1030">
              <w:txbxContent>
                <w:p w:rsidR="00CC30EB" w:rsidRDefault="00031E25">
                  <w:pPr>
                    <w:pStyle w:val="BodyTextIndent"/>
                    <w:ind w:left="0"/>
                  </w:pPr>
                  <w:r>
                    <w:t xml:space="preserve">States Parties recognize the right of the child to the enjoyment of the highest attainable standard of health and to facilities for the treatment of illness and rehabilitation of health. States Parties shall strive to ensure that no child is deprived of his or her right of access to such health care services. </w:t>
                  </w:r>
                </w:p>
                <w:p w:rsidR="00CC30EB" w:rsidRDefault="00031E25">
                  <w:pPr>
                    <w:pStyle w:val="BodyTextIndent"/>
                    <w:ind w:left="0"/>
                    <w:jc w:val="right"/>
                    <w:rPr>
                      <w:b/>
                      <w:bCs/>
                      <w:sz w:val="22"/>
                      <w:szCs w:val="22"/>
                    </w:rPr>
                  </w:pPr>
                  <w:r>
                    <w:rPr>
                      <w:b/>
                      <w:bCs/>
                      <w:i/>
                      <w:iCs/>
                      <w:sz w:val="22"/>
                      <w:szCs w:val="22"/>
                    </w:rPr>
                    <w:t>(Convention on the Rights of the Child, Article 24-1)</w:t>
                  </w:r>
                </w:p>
              </w:txbxContent>
            </v:textbox>
            <w10:wrap anchorx="page"/>
          </v:rect>
        </w:pict>
      </w:r>
    </w:p>
    <w:p w:rsidR="00CC30EB" w:rsidRDefault="00CC30EB">
      <w:pPr>
        <w:rPr>
          <w:color w:val="000000"/>
          <w:rtl/>
          <w:lang w:val="en-GB"/>
        </w:rPr>
      </w:pPr>
    </w:p>
    <w:p w:rsidR="00CC30EB" w:rsidRDefault="00CC30EB">
      <w:pPr>
        <w:rPr>
          <w:color w:val="000000"/>
          <w:rtl/>
          <w:lang w:val="en-GB"/>
        </w:rPr>
      </w:pPr>
    </w:p>
    <w:p w:rsidR="00CC30EB" w:rsidRDefault="00CC30EB">
      <w:pPr>
        <w:jc w:val="lowKashida"/>
        <w:rPr>
          <w:color w:val="000000"/>
          <w:rtl/>
          <w:lang w:val="en-GB"/>
        </w:rPr>
      </w:pPr>
    </w:p>
    <w:p w:rsidR="00CC30EB" w:rsidRDefault="00CC30EB">
      <w:pPr>
        <w:jc w:val="lowKashida"/>
        <w:rPr>
          <w:color w:val="000000"/>
          <w:sz w:val="6"/>
          <w:szCs w:val="6"/>
        </w:rPr>
      </w:pPr>
    </w:p>
    <w:p w:rsidR="00CC30EB" w:rsidRDefault="00CC30EB">
      <w:pPr>
        <w:bidi w:val="0"/>
        <w:jc w:val="both"/>
        <w:rPr>
          <w:color w:val="000000"/>
        </w:rPr>
      </w:pPr>
    </w:p>
    <w:p w:rsidR="00CC30EB" w:rsidRDefault="00CC30EB">
      <w:pPr>
        <w:bidi w:val="0"/>
        <w:jc w:val="both"/>
        <w:rPr>
          <w:color w:val="000000"/>
        </w:rPr>
      </w:pPr>
    </w:p>
    <w:p w:rsidR="00CC30EB" w:rsidRDefault="00CC30EB">
      <w:pPr>
        <w:bidi w:val="0"/>
        <w:jc w:val="both"/>
        <w:rPr>
          <w:color w:val="000000"/>
        </w:rPr>
      </w:pPr>
    </w:p>
    <w:p w:rsidR="00CC30EB" w:rsidRDefault="00CC30EB">
      <w:pPr>
        <w:bidi w:val="0"/>
        <w:jc w:val="both"/>
        <w:rPr>
          <w:color w:val="000000"/>
        </w:rPr>
      </w:pPr>
    </w:p>
    <w:p w:rsidR="00CC30EB" w:rsidRDefault="00031E25">
      <w:pPr>
        <w:bidi w:val="0"/>
        <w:jc w:val="both"/>
        <w:rPr>
          <w:color w:val="000000"/>
        </w:rPr>
      </w:pPr>
      <w:r>
        <w:rPr>
          <w:color w:val="000000"/>
        </w:rPr>
        <w:t>Understanding the significance of children is necessary in building the future of any society. The ongoing development of the child renders them the impact of surrounding internal and external factors. All UN international conventions have addressed healthcare for every human, child or adult, as a human right; furthermore, the Convention on the Rights of the Child (CRC), considered to be the universal constitution for child rights, addressed  the  rights of the child to healthcare.</w:t>
      </w:r>
    </w:p>
    <w:p w:rsidR="00CC30EB" w:rsidRDefault="00CC30EB">
      <w:pPr>
        <w:bidi w:val="0"/>
        <w:jc w:val="both"/>
        <w:rPr>
          <w:color w:val="000000"/>
        </w:rPr>
      </w:pPr>
    </w:p>
    <w:p w:rsidR="00CC30EB" w:rsidRDefault="00031E25">
      <w:pPr>
        <w:bidi w:val="0"/>
        <w:jc w:val="both"/>
        <w:rPr>
          <w:color w:val="000000"/>
        </w:rPr>
      </w:pPr>
      <w:r>
        <w:rPr>
          <w:color w:val="000000"/>
        </w:rPr>
        <w:t>Although the Palestinian National Authority is not a sovereign state, which means that it cannot sign international conventions, it has adopted all aspects of the Convention on the Rights of the Child. The strategy  of the National Plan for the Palestinian Child was drafted based on the CRC as a general framework for that strategy. The program focuses on a number of services provided to children, which include areas such as health, education, youth, culture and social affairs. Regarding health, for instance, the program proposes developing the health system to better improve the Palestinian child’s health and to make that system accessible to all children and mothers as well. The program further adopts the principle of strengthening health through schools, clinics and the media.</w:t>
      </w:r>
    </w:p>
    <w:p w:rsidR="00CC30EB" w:rsidRDefault="00CC30EB">
      <w:pPr>
        <w:bidi w:val="0"/>
        <w:rPr>
          <w:color w:val="000000"/>
        </w:rPr>
      </w:pPr>
    </w:p>
    <w:p w:rsidR="00CC30EB" w:rsidRDefault="00031E25">
      <w:pPr>
        <w:bidi w:val="0"/>
        <w:jc w:val="both"/>
        <w:rPr>
          <w:color w:val="000000"/>
        </w:rPr>
      </w:pPr>
      <w:r>
        <w:rPr>
          <w:color w:val="000000"/>
        </w:rPr>
        <w:t>The National Health Plan 1999-2003 addresses the need to improve the quality of health care services for mothers and children at all levels, ensuring equal distribution and optimum access to all levels of care. In addition,  it takes into account the Millennium Development Goals, especially those amendments which were added to the fourth and fifth goals, to reduce child mortality by two thirds between 1990 and 2015, and to improve maternal health by reducing maternal mortality by three quarters in the period between 1990 and 2015.</w:t>
      </w:r>
    </w:p>
    <w:p w:rsidR="00CC30EB" w:rsidRDefault="00CC30EB">
      <w:pPr>
        <w:jc w:val="lowKashida"/>
        <w:rPr>
          <w:color w:val="000000"/>
        </w:rPr>
      </w:pPr>
    </w:p>
    <w:p w:rsidR="00CC30EB" w:rsidRDefault="00031E25">
      <w:pPr>
        <w:bidi w:val="0"/>
        <w:jc w:val="lowKashida"/>
        <w:rPr>
          <w:color w:val="000000"/>
        </w:rPr>
      </w:pPr>
      <w:r>
        <w:rPr>
          <w:color w:val="000000"/>
        </w:rPr>
        <w:t>The health status of children can be measured and evaluated through the use of indicators which include infant mortality rate, under five child mortality rate and nutritional status. child’s health status is affected by certain factors or direct determinants (factors associated with age and education of the mother and some other background characteristics at birth) and indirect factors (including social and economic situation of the child's family and the availability of health services in general).</w:t>
      </w:r>
    </w:p>
    <w:p w:rsidR="00CC30EB" w:rsidRDefault="00CC30EB">
      <w:pPr>
        <w:bidi w:val="0"/>
        <w:jc w:val="lowKashida"/>
        <w:rPr>
          <w:color w:val="000000"/>
        </w:rPr>
      </w:pPr>
    </w:p>
    <w:p w:rsidR="00CC30EB" w:rsidRDefault="00031E25">
      <w:pPr>
        <w:bidi w:val="0"/>
        <w:jc w:val="lowKashida"/>
        <w:rPr>
          <w:b/>
          <w:bCs/>
          <w:color w:val="000000"/>
        </w:rPr>
      </w:pPr>
      <w:r>
        <w:rPr>
          <w:b/>
          <w:bCs/>
          <w:color w:val="000000"/>
        </w:rPr>
        <w:t>2.1 Malnutrition</w:t>
      </w:r>
    </w:p>
    <w:p w:rsidR="00CC30EB" w:rsidRDefault="00CC30EB">
      <w:pPr>
        <w:bidi w:val="0"/>
        <w:jc w:val="lowKashida"/>
        <w:rPr>
          <w:b/>
          <w:bCs/>
          <w:color w:val="000000"/>
        </w:rPr>
      </w:pPr>
    </w:p>
    <w:p w:rsidR="00CC30EB" w:rsidRDefault="00031E25">
      <w:pPr>
        <w:bidi w:val="0"/>
        <w:jc w:val="lowKashida"/>
        <w:rPr>
          <w:lang w:bidi="ar-JO"/>
        </w:rPr>
      </w:pPr>
      <w:r>
        <w:rPr>
          <w:lang w:bidi="ar-JO"/>
        </w:rPr>
        <w:t>The second target of the first goal of the MDGs points out to reducing by half the proportion of people who suffer from hunger by improving two key indicators: Prevalence of underweight among children under five years of age and proportion of the population below minimum level of dietary energy consumption.</w:t>
      </w:r>
    </w:p>
    <w:p w:rsidR="00CC30EB" w:rsidRDefault="00031E25" w:rsidP="000C4952">
      <w:pPr>
        <w:bidi w:val="0"/>
        <w:jc w:val="lowKashida"/>
        <w:rPr>
          <w:b/>
          <w:bCs/>
          <w:lang w:bidi="ar-JO"/>
        </w:rPr>
      </w:pPr>
      <w:r>
        <w:rPr>
          <w:lang w:bidi="ar-JO"/>
        </w:rPr>
        <w:br w:type="page"/>
      </w:r>
      <w:r>
        <w:rPr>
          <w:b/>
          <w:bCs/>
          <w:lang w:bidi="ar-JO"/>
        </w:rPr>
        <w:lastRenderedPageBreak/>
        <w:t xml:space="preserve">Eleven </w:t>
      </w:r>
      <w:r w:rsidR="000C4952">
        <w:rPr>
          <w:b/>
          <w:bCs/>
          <w:lang w:bidi="ar-JO"/>
        </w:rPr>
        <w:t>O</w:t>
      </w:r>
      <w:r>
        <w:rPr>
          <w:b/>
          <w:bCs/>
          <w:lang w:bidi="ar-JO"/>
        </w:rPr>
        <w:t xml:space="preserve">ut of </w:t>
      </w:r>
      <w:r w:rsidR="000C4952">
        <w:rPr>
          <w:b/>
          <w:bCs/>
          <w:lang w:bidi="ar-JO"/>
        </w:rPr>
        <w:t>O</w:t>
      </w:r>
      <w:r>
        <w:rPr>
          <w:b/>
          <w:bCs/>
          <w:lang w:bidi="ar-JO"/>
        </w:rPr>
        <w:t xml:space="preserve">ne </w:t>
      </w:r>
      <w:r w:rsidR="000C4952">
        <w:rPr>
          <w:b/>
          <w:bCs/>
          <w:lang w:bidi="ar-JO"/>
        </w:rPr>
        <w:t>H</w:t>
      </w:r>
      <w:r>
        <w:rPr>
          <w:b/>
          <w:bCs/>
          <w:lang w:bidi="ar-JO"/>
        </w:rPr>
        <w:t xml:space="preserve">undred of the </w:t>
      </w:r>
      <w:r w:rsidR="000C4952">
        <w:rPr>
          <w:b/>
          <w:bCs/>
          <w:lang w:bidi="ar-JO"/>
        </w:rPr>
        <w:t>U</w:t>
      </w:r>
      <w:r>
        <w:rPr>
          <w:b/>
          <w:bCs/>
          <w:lang w:bidi="ar-JO"/>
        </w:rPr>
        <w:t>nder-</w:t>
      </w:r>
      <w:r w:rsidR="000C4952">
        <w:rPr>
          <w:b/>
          <w:bCs/>
          <w:lang w:bidi="ar-JO"/>
        </w:rPr>
        <w:t>F</w:t>
      </w:r>
      <w:r>
        <w:rPr>
          <w:b/>
          <w:bCs/>
          <w:lang w:bidi="ar-JO"/>
        </w:rPr>
        <w:t xml:space="preserve">ive </w:t>
      </w:r>
      <w:r w:rsidR="000C4952">
        <w:rPr>
          <w:b/>
          <w:bCs/>
          <w:lang w:bidi="ar-JO"/>
        </w:rPr>
        <w:t>C</w:t>
      </w:r>
      <w:r>
        <w:rPr>
          <w:b/>
          <w:bCs/>
          <w:lang w:bidi="ar-JO"/>
        </w:rPr>
        <w:t xml:space="preserve">hildren </w:t>
      </w:r>
      <w:r w:rsidR="000C4952">
        <w:rPr>
          <w:b/>
          <w:bCs/>
          <w:lang w:bidi="ar-JO"/>
        </w:rPr>
        <w:t>S</w:t>
      </w:r>
      <w:r>
        <w:rPr>
          <w:b/>
          <w:bCs/>
          <w:lang w:bidi="ar-JO"/>
        </w:rPr>
        <w:t xml:space="preserve">uffer </w:t>
      </w:r>
      <w:r w:rsidR="00E22B60">
        <w:rPr>
          <w:b/>
          <w:bCs/>
          <w:lang w:bidi="ar-JO"/>
        </w:rPr>
        <w:t xml:space="preserve">of </w:t>
      </w:r>
      <w:r w:rsidR="000C4952">
        <w:rPr>
          <w:b/>
          <w:bCs/>
          <w:lang w:bidi="ar-JO"/>
        </w:rPr>
        <w:t>C</w:t>
      </w:r>
      <w:r>
        <w:rPr>
          <w:b/>
          <w:bCs/>
          <w:lang w:bidi="ar-JO"/>
        </w:rPr>
        <w:t xml:space="preserve">hronic </w:t>
      </w:r>
      <w:r w:rsidR="000C4952">
        <w:rPr>
          <w:b/>
          <w:bCs/>
          <w:lang w:bidi="ar-JO"/>
        </w:rPr>
        <w:t>M</w:t>
      </w:r>
      <w:r>
        <w:rPr>
          <w:b/>
          <w:bCs/>
          <w:lang w:bidi="ar-JO"/>
        </w:rPr>
        <w:t xml:space="preserve">alnutrition </w:t>
      </w:r>
    </w:p>
    <w:p w:rsidR="00CC30EB" w:rsidRDefault="00CC30EB">
      <w:pPr>
        <w:bidi w:val="0"/>
        <w:rPr>
          <w:sz w:val="22"/>
          <w:szCs w:val="22"/>
          <w:lang w:bidi="ar-JO"/>
        </w:rPr>
      </w:pPr>
    </w:p>
    <w:p w:rsidR="00CC30EB" w:rsidRDefault="00031E25">
      <w:pPr>
        <w:bidi w:val="0"/>
      </w:pPr>
      <w:r>
        <w:t>Malnutrition in children often begins at birth and is associated with retarded physical and cognitive development. This, in turn, yields serious implications for the overall national development agenda.</w:t>
      </w:r>
    </w:p>
    <w:p w:rsidR="00CC30EB" w:rsidRDefault="00CC30EB">
      <w:pPr>
        <w:bidi w:val="0"/>
        <w:jc w:val="lowKashida"/>
        <w:rPr>
          <w:lang w:bidi="ar-JO"/>
        </w:rPr>
      </w:pPr>
    </w:p>
    <w:p w:rsidR="00CC30EB" w:rsidRDefault="00031E25">
      <w:pPr>
        <w:bidi w:val="0"/>
        <w:jc w:val="lowKashida"/>
        <w:rPr>
          <w:lang w:bidi="ar-JO"/>
        </w:rPr>
      </w:pPr>
      <w:r>
        <w:rPr>
          <w:lang w:bidi="ar-JO"/>
        </w:rPr>
        <w:t xml:space="preserve">Currently, 11 out of 100 children under-five suffer chronic malnutrition including 11.3% in the West Bank and 9.9% in Gaza Strip. Hebron governorate had the highest rate at 16.9% compared to the rest of the governorates.   </w:t>
      </w:r>
    </w:p>
    <w:p w:rsidR="00CC30EB" w:rsidRDefault="00CC30EB">
      <w:pPr>
        <w:bidi w:val="0"/>
        <w:jc w:val="lowKashida"/>
        <w:rPr>
          <w:sz w:val="22"/>
          <w:szCs w:val="22"/>
          <w:lang w:bidi="ar-JO"/>
        </w:rPr>
      </w:pPr>
    </w:p>
    <w:p w:rsidR="00CC30EB" w:rsidRDefault="00031E25">
      <w:pPr>
        <w:bidi w:val="0"/>
        <w:jc w:val="lowKashida"/>
        <w:rPr>
          <w:lang w:bidi="ar-JO"/>
        </w:rPr>
      </w:pPr>
      <w:r>
        <w:rPr>
          <w:lang w:bidi="ar-JO"/>
        </w:rPr>
        <w:t xml:space="preserve">Within this context and as malnutrition in Palestine was largely determined by the worsening political and socio-economic conditions in the country, it is highly relevant to refer to international literature suggesting a strong link between prevalence of chronic malnutrition exceeding 5.0% among the under-fives and the overall national malnutrition profile which in turn is a key poverty/development indicator.  </w:t>
      </w:r>
    </w:p>
    <w:p w:rsidR="00CC30EB" w:rsidRDefault="00CC30EB">
      <w:pPr>
        <w:bidi w:val="0"/>
        <w:jc w:val="lowKashida"/>
        <w:rPr>
          <w:sz w:val="22"/>
          <w:szCs w:val="22"/>
          <w:lang w:bidi="ar-JO"/>
        </w:rPr>
      </w:pPr>
    </w:p>
    <w:p w:rsidR="00CC30EB" w:rsidRPr="00F86936" w:rsidRDefault="00031E25" w:rsidP="009F0611">
      <w:pPr>
        <w:bidi w:val="0"/>
        <w:jc w:val="center"/>
        <w:rPr>
          <w:b/>
          <w:bCs/>
          <w:sz w:val="22"/>
          <w:szCs w:val="22"/>
        </w:rPr>
      </w:pPr>
      <w:r w:rsidRPr="00F86936">
        <w:rPr>
          <w:b/>
          <w:bCs/>
          <w:sz w:val="22"/>
          <w:szCs w:val="22"/>
        </w:rPr>
        <w:t>Figure ( 2-1) : Prevalence of  stunting among children under five</w:t>
      </w:r>
      <w:r w:rsidR="00D86755" w:rsidRPr="00F86936">
        <w:rPr>
          <w:b/>
          <w:bCs/>
          <w:sz w:val="22"/>
          <w:szCs w:val="22"/>
        </w:rPr>
        <w:t xml:space="preserve"> by region</w:t>
      </w:r>
      <w:r w:rsidR="009F0611">
        <w:rPr>
          <w:b/>
          <w:bCs/>
          <w:sz w:val="22"/>
          <w:szCs w:val="22"/>
        </w:rPr>
        <w:t xml:space="preserve"> in</w:t>
      </w:r>
      <w:r w:rsidRPr="00F86936">
        <w:rPr>
          <w:b/>
          <w:bCs/>
          <w:sz w:val="22"/>
          <w:szCs w:val="22"/>
        </w:rPr>
        <w:t>2000-2010</w:t>
      </w:r>
    </w:p>
    <w:p w:rsidR="00D86755" w:rsidRDefault="00D86755" w:rsidP="00D86755">
      <w:pPr>
        <w:bidi w:val="0"/>
        <w:jc w:val="center"/>
        <w:rPr>
          <w:b/>
          <w:bCs/>
          <w:sz w:val="22"/>
          <w:szCs w:val="22"/>
        </w:rPr>
      </w:pPr>
      <w:r w:rsidRPr="00D86755">
        <w:rPr>
          <w:b/>
          <w:bCs/>
          <w:noProof/>
          <w:sz w:val="22"/>
          <w:szCs w:val="22"/>
          <w:lang w:eastAsia="en-US"/>
        </w:rPr>
        <w:drawing>
          <wp:inline distT="0" distB="0" distL="0" distR="0">
            <wp:extent cx="5648325" cy="3314700"/>
            <wp:effectExtent l="57150" t="0" r="66675" b="95250"/>
            <wp:docPr id="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94F7C" w:rsidRPr="008A2CCC" w:rsidRDefault="00494F7C" w:rsidP="00494F7C">
      <w:pPr>
        <w:bidi w:val="0"/>
        <w:ind w:left="142"/>
        <w:rPr>
          <w:b/>
          <w:bCs/>
          <w:sz w:val="18"/>
          <w:szCs w:val="18"/>
        </w:rPr>
      </w:pPr>
      <w:r>
        <w:rPr>
          <w:b/>
          <w:bCs/>
          <w:sz w:val="18"/>
          <w:szCs w:val="18"/>
        </w:rPr>
        <w:t xml:space="preserve"> Source: </w:t>
      </w:r>
      <w:r w:rsidRPr="008A2CCC">
        <w:rPr>
          <w:b/>
          <w:bCs/>
          <w:sz w:val="18"/>
          <w:szCs w:val="18"/>
        </w:rPr>
        <w:t>Palestinian Central Bureau of Statistics, 2011</w:t>
      </w:r>
      <w:r w:rsidRPr="008A2CCC">
        <w:rPr>
          <w:sz w:val="18"/>
          <w:szCs w:val="18"/>
        </w:rPr>
        <w:t>.  Palestinian Family Survey 2010</w:t>
      </w:r>
      <w:r>
        <w:rPr>
          <w:b/>
          <w:bCs/>
          <w:sz w:val="18"/>
          <w:szCs w:val="18"/>
        </w:rPr>
        <w:t>,</w:t>
      </w:r>
      <w:r w:rsidRPr="008A2CCC">
        <w:rPr>
          <w:b/>
          <w:bCs/>
          <w:sz w:val="18"/>
          <w:szCs w:val="18"/>
        </w:rPr>
        <w:t xml:space="preserve">  </w:t>
      </w:r>
      <w:r w:rsidRPr="008A2CCC">
        <w:rPr>
          <w:i/>
          <w:iCs/>
          <w:sz w:val="18"/>
          <w:szCs w:val="18"/>
        </w:rPr>
        <w:t xml:space="preserve">Main Report.   </w:t>
      </w:r>
      <w:r w:rsidRPr="008A2CCC">
        <w:rPr>
          <w:b/>
          <w:bCs/>
          <w:sz w:val="18"/>
          <w:szCs w:val="18"/>
        </w:rPr>
        <w:t>Ramallah</w:t>
      </w:r>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CC30EB" w:rsidRDefault="00CC30EB"/>
    <w:p w:rsidR="00CC30EB" w:rsidRDefault="00CC30EB">
      <w:pPr>
        <w:pStyle w:val="Heading7"/>
        <w:rPr>
          <w:sz w:val="20"/>
          <w:szCs w:val="20"/>
        </w:rPr>
      </w:pPr>
    </w:p>
    <w:p w:rsidR="00CC30EB" w:rsidRDefault="00031E25">
      <w:pPr>
        <w:pStyle w:val="Heading7"/>
        <w:rPr>
          <w:lang w:bidi="ar-JO"/>
        </w:rPr>
      </w:pPr>
      <w:r>
        <w:rPr>
          <w:lang w:bidi="ar-JO"/>
        </w:rPr>
        <w:t xml:space="preserve">2.2 Underweight </w:t>
      </w:r>
    </w:p>
    <w:p w:rsidR="00CC30EB" w:rsidRDefault="00CC30EB"/>
    <w:p w:rsidR="00CC30EB" w:rsidRDefault="00031E25">
      <w:pPr>
        <w:bidi w:val="0"/>
        <w:jc w:val="lowKashida"/>
        <w:rPr>
          <w:lang w:bidi="ar-JO"/>
        </w:rPr>
      </w:pPr>
      <w:r>
        <w:rPr>
          <w:lang w:bidi="ar-JO"/>
        </w:rPr>
        <w:t>Underweight is a significant indicator for measuring the prevalence of severe malnutrition rates. Although a decline in underweight rates had occurred between 2000 and 2010, the rates climbed in 2006 and dropped back in 2010 reaching a national rate of 3.7%</w:t>
      </w:r>
      <w:r>
        <w:rPr>
          <w:rFonts w:hint="cs"/>
          <w:rtl/>
          <w:lang w:val="en-GB" w:bidi="ar-JO"/>
        </w:rPr>
        <w:t xml:space="preserve"> </w:t>
      </w:r>
      <w:r>
        <w:rPr>
          <w:lang w:bidi="ar-JO"/>
        </w:rPr>
        <w:t xml:space="preserve">; 3.8% for the West Bank and 3.5% in Gaza Strip. The rate reached 5.6% for Hebron governorate, 4.8% for </w:t>
      </w:r>
      <w:proofErr w:type="spellStart"/>
      <w:r>
        <w:rPr>
          <w:lang w:bidi="ar-JO"/>
        </w:rPr>
        <w:t>Ramallh</w:t>
      </w:r>
      <w:proofErr w:type="spellEnd"/>
      <w:r>
        <w:rPr>
          <w:lang w:bidi="ar-JO"/>
        </w:rPr>
        <w:t xml:space="preserve"> &amp; Al-</w:t>
      </w:r>
      <w:proofErr w:type="spellStart"/>
      <w:r>
        <w:rPr>
          <w:lang w:bidi="ar-JO"/>
        </w:rPr>
        <w:t>Bireh</w:t>
      </w:r>
      <w:proofErr w:type="spellEnd"/>
      <w:r>
        <w:rPr>
          <w:lang w:bidi="ar-JO"/>
        </w:rPr>
        <w:t xml:space="preserve"> governorate, and 3.9% for Jerusalem governorate. Underweight in </w:t>
      </w:r>
      <w:proofErr w:type="spellStart"/>
      <w:r>
        <w:rPr>
          <w:lang w:bidi="ar-JO"/>
        </w:rPr>
        <w:t>Deir</w:t>
      </w:r>
      <w:proofErr w:type="spellEnd"/>
      <w:r>
        <w:rPr>
          <w:lang w:bidi="ar-JO"/>
        </w:rPr>
        <w:t xml:space="preserve"> Al- </w:t>
      </w:r>
      <w:proofErr w:type="spellStart"/>
      <w:r>
        <w:rPr>
          <w:lang w:bidi="ar-JO"/>
        </w:rPr>
        <w:t>Balah</w:t>
      </w:r>
      <w:proofErr w:type="spellEnd"/>
      <w:r>
        <w:rPr>
          <w:lang w:bidi="ar-JO"/>
        </w:rPr>
        <w:t xml:space="preserve"> and North Gaza and Rafah governorates was; 4.4%, 4.3%, 4.2%, </w:t>
      </w:r>
      <w:r>
        <w:t>respectively</w:t>
      </w:r>
      <w:r>
        <w:rPr>
          <w:lang w:bidi="ar-JO"/>
        </w:rPr>
        <w:t xml:space="preserve">. </w:t>
      </w:r>
    </w:p>
    <w:p w:rsidR="00CC30EB" w:rsidRDefault="00CC30EB">
      <w:pPr>
        <w:bidi w:val="0"/>
        <w:jc w:val="lowKashida"/>
        <w:rPr>
          <w:rtl/>
          <w:lang w:val="en-GB"/>
        </w:rPr>
      </w:pPr>
    </w:p>
    <w:p w:rsidR="001B287E" w:rsidRDefault="00031E25" w:rsidP="001B287E">
      <w:pPr>
        <w:bidi w:val="0"/>
        <w:jc w:val="lowKashida"/>
      </w:pPr>
      <w:r>
        <w:t xml:space="preserve">Although a </w:t>
      </w:r>
      <w:r w:rsidR="001B287E">
        <w:rPr>
          <w:lang w:bidi="ar-JO"/>
        </w:rPr>
        <w:t>climbed</w:t>
      </w:r>
      <w:r>
        <w:t xml:space="preserve"> in underweight rates occurred between </w:t>
      </w:r>
      <w:r w:rsidR="001B287E">
        <w:t>2000</w:t>
      </w:r>
      <w:r>
        <w:t xml:space="preserve"> and </w:t>
      </w:r>
      <w:r w:rsidR="001B287E">
        <w:t>2004</w:t>
      </w:r>
      <w:r>
        <w:t xml:space="preserve">, the rates </w:t>
      </w:r>
      <w:r w:rsidR="001B287E">
        <w:rPr>
          <w:lang w:bidi="ar-JO"/>
        </w:rPr>
        <w:t>decline</w:t>
      </w:r>
      <w:r>
        <w:t xml:space="preserve"> again in </w:t>
      </w:r>
      <w:r w:rsidR="001B287E">
        <w:t>2006</w:t>
      </w:r>
      <w:r>
        <w:t xml:space="preserve"> and </w:t>
      </w:r>
      <w:r w:rsidR="001B287E">
        <w:t>climbed</w:t>
      </w:r>
      <w:r>
        <w:t xml:space="preserve"> </w:t>
      </w:r>
      <w:r w:rsidR="001B287E">
        <w:t xml:space="preserve">up </w:t>
      </w:r>
      <w:r>
        <w:t xml:space="preserve">in 2010  to reach 3.7% </w:t>
      </w:r>
      <w:r w:rsidR="001B287E">
        <w:t>.</w:t>
      </w:r>
    </w:p>
    <w:p w:rsidR="00CC30EB" w:rsidRPr="00F86936" w:rsidRDefault="00031E25" w:rsidP="009F0611">
      <w:pPr>
        <w:bidi w:val="0"/>
        <w:jc w:val="center"/>
        <w:rPr>
          <w:b/>
          <w:bCs/>
          <w:sz w:val="22"/>
          <w:szCs w:val="22"/>
        </w:rPr>
      </w:pPr>
      <w:r w:rsidRPr="00F86936">
        <w:rPr>
          <w:b/>
          <w:bCs/>
          <w:sz w:val="22"/>
          <w:szCs w:val="22"/>
        </w:rPr>
        <w:lastRenderedPageBreak/>
        <w:t>Figure (2-2): Prevalence of underweight among children under five</w:t>
      </w:r>
      <w:r w:rsidR="00BF3AA2" w:rsidRPr="00F86936">
        <w:rPr>
          <w:b/>
          <w:bCs/>
          <w:sz w:val="22"/>
          <w:szCs w:val="22"/>
        </w:rPr>
        <w:t xml:space="preserve"> by region</w:t>
      </w:r>
      <w:r w:rsidR="009F0611">
        <w:rPr>
          <w:b/>
          <w:bCs/>
          <w:sz w:val="22"/>
          <w:szCs w:val="22"/>
        </w:rPr>
        <w:t xml:space="preserve"> in </w:t>
      </w:r>
      <w:r w:rsidRPr="00F86936">
        <w:rPr>
          <w:b/>
          <w:bCs/>
          <w:sz w:val="22"/>
          <w:szCs w:val="22"/>
        </w:rPr>
        <w:t>2000-2010</w:t>
      </w:r>
    </w:p>
    <w:p w:rsidR="00BF3AA2" w:rsidRDefault="00BF3AA2" w:rsidP="00BF3AA2">
      <w:pPr>
        <w:bidi w:val="0"/>
        <w:jc w:val="center"/>
        <w:rPr>
          <w:b/>
          <w:bCs/>
          <w:sz w:val="22"/>
          <w:szCs w:val="22"/>
        </w:rPr>
      </w:pPr>
      <w:r w:rsidRPr="00BF3AA2">
        <w:rPr>
          <w:b/>
          <w:bCs/>
          <w:noProof/>
          <w:sz w:val="22"/>
          <w:szCs w:val="22"/>
          <w:lang w:eastAsia="en-US"/>
        </w:rPr>
        <w:drawing>
          <wp:inline distT="0" distB="0" distL="0" distR="0">
            <wp:extent cx="5648325" cy="3314700"/>
            <wp:effectExtent l="57150" t="0" r="66675" b="9525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C30EB" w:rsidRDefault="00494F7C" w:rsidP="00494F7C">
      <w:pPr>
        <w:bidi w:val="0"/>
        <w:ind w:left="142" w:hanging="142"/>
        <w:jc w:val="lowKashida"/>
      </w:pPr>
      <w:r>
        <w:rPr>
          <w:b/>
          <w:bCs/>
          <w:sz w:val="18"/>
          <w:szCs w:val="18"/>
        </w:rPr>
        <w:t xml:space="preserve">   Source: </w:t>
      </w:r>
      <w:r w:rsidRPr="008A2CCC">
        <w:rPr>
          <w:b/>
          <w:bCs/>
          <w:sz w:val="18"/>
          <w:szCs w:val="18"/>
        </w:rPr>
        <w:t>Palestinian Central Bureau of Statistics, 2011</w:t>
      </w:r>
      <w:r w:rsidRPr="008A2CCC">
        <w:rPr>
          <w:sz w:val="18"/>
          <w:szCs w:val="18"/>
        </w:rPr>
        <w:t>.  Palestinian Family Survey 2010</w:t>
      </w:r>
      <w:r>
        <w:rPr>
          <w:b/>
          <w:bCs/>
          <w:sz w:val="18"/>
          <w:szCs w:val="18"/>
        </w:rPr>
        <w:t>,</w:t>
      </w:r>
      <w:r w:rsidRPr="008A2CCC">
        <w:rPr>
          <w:b/>
          <w:bCs/>
          <w:sz w:val="18"/>
          <w:szCs w:val="18"/>
        </w:rPr>
        <w:t xml:space="preserve">  </w:t>
      </w:r>
      <w:r w:rsidRPr="008A2CCC">
        <w:rPr>
          <w:i/>
          <w:iCs/>
          <w:sz w:val="18"/>
          <w:szCs w:val="18"/>
        </w:rPr>
        <w:t xml:space="preserve">Main Report.   </w:t>
      </w:r>
      <w:r w:rsidRPr="008A2CCC">
        <w:rPr>
          <w:b/>
          <w:bCs/>
          <w:sz w:val="18"/>
          <w:szCs w:val="18"/>
        </w:rPr>
        <w:t>Ramallah</w:t>
      </w:r>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F86936" w:rsidRDefault="00F86936">
      <w:pPr>
        <w:bidi w:val="0"/>
        <w:jc w:val="both"/>
        <w:rPr>
          <w:lang w:bidi="ar-JO"/>
        </w:rPr>
      </w:pPr>
    </w:p>
    <w:p w:rsidR="00F86936" w:rsidRDefault="00F86936" w:rsidP="00F86936">
      <w:pPr>
        <w:bidi w:val="0"/>
        <w:jc w:val="both"/>
        <w:rPr>
          <w:lang w:bidi="ar-JO"/>
        </w:rPr>
      </w:pPr>
    </w:p>
    <w:p w:rsidR="00CC30EB" w:rsidRDefault="00031E25" w:rsidP="00F86936">
      <w:pPr>
        <w:bidi w:val="0"/>
        <w:jc w:val="both"/>
        <w:rPr>
          <w:b/>
          <w:bCs/>
          <w:color w:val="000000"/>
        </w:rPr>
      </w:pPr>
      <w:r>
        <w:rPr>
          <w:b/>
          <w:bCs/>
          <w:color w:val="000000"/>
        </w:rPr>
        <w:t>2.3 Infant and Child Mortality</w:t>
      </w:r>
    </w:p>
    <w:p w:rsidR="00CC30EB" w:rsidRDefault="00CC30EB">
      <w:pPr>
        <w:bidi w:val="0"/>
        <w:jc w:val="both"/>
        <w:rPr>
          <w:b/>
          <w:bCs/>
          <w:color w:val="000000"/>
        </w:rPr>
      </w:pPr>
    </w:p>
    <w:p w:rsidR="00CC30EB" w:rsidRDefault="00031E25">
      <w:pPr>
        <w:bidi w:val="0"/>
        <w:jc w:val="both"/>
        <w:rPr>
          <w:color w:val="000000"/>
        </w:rPr>
      </w:pPr>
      <w:r>
        <w:rPr>
          <w:color w:val="000000"/>
        </w:rPr>
        <w:t xml:space="preserve">The second item of Article 24 of the Convention on the Rights of the Child indicates the need for Member States to take appropriate measures to reduce infant and child mortality. </w:t>
      </w:r>
      <w:r>
        <w:rPr>
          <w:color w:val="000000"/>
        </w:rPr>
        <w:br/>
        <w:t>The Millennium Development Goals and aspirations of societies to a better life are reflected through a series of selected targets that are specified in numbers and clear time frames, during the period between 1990-2015.  The countries agreed to reduce rates of poverty and hunger by half, to ensure primary education at a global level, promote gender equality, reduce the mortality rate among children under five years by two thirds, as well as reduce maternal mortality rate by three quarters. Indicators associated with these objectives contribute in monitoring and evaluating national plans and programs. For example, indicators associated with the reduction of child mortality contribute to the process of evaluating the plans and health programs, as well as contribute to designing necessary health policies.</w:t>
      </w:r>
    </w:p>
    <w:p w:rsidR="00F86936" w:rsidRDefault="00F86936">
      <w:pPr>
        <w:bidi w:val="0"/>
        <w:ind w:firstLine="63"/>
        <w:jc w:val="lowKashida"/>
        <w:rPr>
          <w:b/>
          <w:bCs/>
        </w:rPr>
      </w:pPr>
    </w:p>
    <w:p w:rsidR="00E01D2D" w:rsidRDefault="00E01D2D" w:rsidP="000C4952">
      <w:pPr>
        <w:bidi w:val="0"/>
        <w:ind w:firstLine="63"/>
        <w:jc w:val="lowKashida"/>
        <w:rPr>
          <w:b/>
          <w:bCs/>
        </w:rPr>
      </w:pPr>
    </w:p>
    <w:p w:rsidR="00CC30EB" w:rsidRDefault="00031E25" w:rsidP="00E01D2D">
      <w:pPr>
        <w:bidi w:val="0"/>
        <w:ind w:firstLine="63"/>
        <w:jc w:val="lowKashida"/>
        <w:rPr>
          <w:b/>
          <w:bCs/>
        </w:rPr>
      </w:pPr>
      <w:r>
        <w:rPr>
          <w:b/>
          <w:bCs/>
        </w:rPr>
        <w:t xml:space="preserve">Goal 4: Reduce </w:t>
      </w:r>
      <w:r w:rsidR="000C4952">
        <w:rPr>
          <w:b/>
          <w:bCs/>
        </w:rPr>
        <w:t>C</w:t>
      </w:r>
      <w:r>
        <w:rPr>
          <w:b/>
          <w:bCs/>
        </w:rPr>
        <w:t xml:space="preserve">hild </w:t>
      </w:r>
      <w:r w:rsidR="000C4952">
        <w:rPr>
          <w:b/>
          <w:bCs/>
        </w:rPr>
        <w:t>M</w:t>
      </w:r>
      <w:r>
        <w:rPr>
          <w:b/>
          <w:bCs/>
        </w:rPr>
        <w:t>ortality</w:t>
      </w:r>
    </w:p>
    <w:p w:rsidR="00CC30EB" w:rsidRDefault="00CC30EB">
      <w:pPr>
        <w:bidi w:val="0"/>
        <w:ind w:firstLine="63"/>
        <w:jc w:val="lowKashida"/>
        <w:rPr>
          <w:b/>
          <w:bCs/>
          <w:rtl/>
          <w:lang w:val="en-GB"/>
        </w:rPr>
      </w:pPr>
    </w:p>
    <w:p w:rsidR="00CC30EB" w:rsidRDefault="00031E25">
      <w:pPr>
        <w:pStyle w:val="Heading8"/>
        <w:rPr>
          <w:i/>
          <w:iCs/>
        </w:rPr>
      </w:pPr>
      <w:r>
        <w:rPr>
          <w:i/>
          <w:iCs/>
        </w:rPr>
        <w:t xml:space="preserve">Reduce by two-thirds, between 1990 and 2015, the mortality rate among the under-fives.  </w:t>
      </w:r>
    </w:p>
    <w:p w:rsidR="00CC30EB" w:rsidRDefault="00031E25">
      <w:pPr>
        <w:pStyle w:val="Heading8"/>
        <w:rPr>
          <w:i/>
          <w:iCs/>
        </w:rPr>
      </w:pPr>
      <w:r>
        <w:rPr>
          <w:i/>
          <w:iCs/>
        </w:rPr>
        <w:t>In order to achieve this goal, the following targets were defined:</w:t>
      </w:r>
    </w:p>
    <w:p w:rsidR="00CC30EB" w:rsidRDefault="00031E25">
      <w:pPr>
        <w:pStyle w:val="Heading8"/>
        <w:numPr>
          <w:ilvl w:val="0"/>
          <w:numId w:val="1"/>
        </w:numPr>
        <w:rPr>
          <w:i/>
          <w:iCs/>
        </w:rPr>
      </w:pPr>
      <w:r>
        <w:rPr>
          <w:i/>
          <w:iCs/>
        </w:rPr>
        <w:t>Infant Mortality Rate (IMR)</w:t>
      </w:r>
    </w:p>
    <w:p w:rsidR="00CC30EB" w:rsidRDefault="00031E25">
      <w:pPr>
        <w:pStyle w:val="Heading8"/>
        <w:numPr>
          <w:ilvl w:val="0"/>
          <w:numId w:val="1"/>
        </w:numPr>
        <w:rPr>
          <w:i/>
          <w:iCs/>
        </w:rPr>
      </w:pPr>
      <w:r>
        <w:rPr>
          <w:i/>
          <w:iCs/>
        </w:rPr>
        <w:t xml:space="preserve">Under-five mortality </w:t>
      </w:r>
    </w:p>
    <w:p w:rsidR="00CC30EB" w:rsidRDefault="00031E25">
      <w:pPr>
        <w:pStyle w:val="Heading8"/>
        <w:numPr>
          <w:ilvl w:val="0"/>
          <w:numId w:val="1"/>
        </w:numPr>
        <w:rPr>
          <w:i/>
          <w:iCs/>
        </w:rPr>
      </w:pPr>
      <w:r>
        <w:rPr>
          <w:i/>
          <w:iCs/>
        </w:rPr>
        <w:t>Proportion of one year old children immunized against measles</w:t>
      </w:r>
    </w:p>
    <w:p w:rsidR="00CC30EB" w:rsidRDefault="00CC30EB">
      <w:pPr>
        <w:pStyle w:val="Heading8"/>
        <w:rPr>
          <w:i/>
          <w:iCs/>
        </w:rPr>
      </w:pPr>
    </w:p>
    <w:p w:rsidR="00CC30EB" w:rsidRDefault="00031E25" w:rsidP="000C4952">
      <w:pPr>
        <w:bidi w:val="0"/>
        <w:rPr>
          <w:b/>
          <w:bCs/>
        </w:rPr>
      </w:pPr>
      <w:r>
        <w:rPr>
          <w:b/>
          <w:bCs/>
        </w:rPr>
        <w:t xml:space="preserve">High </w:t>
      </w:r>
      <w:r w:rsidR="000C4952">
        <w:rPr>
          <w:b/>
          <w:bCs/>
        </w:rPr>
        <w:t>M</w:t>
      </w:r>
      <w:r>
        <w:rPr>
          <w:b/>
          <w:bCs/>
        </w:rPr>
        <w:t xml:space="preserve">ortality </w:t>
      </w:r>
      <w:r w:rsidR="000C4952">
        <w:rPr>
          <w:b/>
          <w:bCs/>
        </w:rPr>
        <w:t>R</w:t>
      </w:r>
      <w:r>
        <w:rPr>
          <w:b/>
          <w:bCs/>
        </w:rPr>
        <w:t xml:space="preserve">ates </w:t>
      </w:r>
      <w:r w:rsidR="000C4952">
        <w:rPr>
          <w:b/>
          <w:bCs/>
        </w:rPr>
        <w:t>A</w:t>
      </w:r>
      <w:r>
        <w:rPr>
          <w:b/>
          <w:bCs/>
        </w:rPr>
        <w:t xml:space="preserve">mong </w:t>
      </w:r>
      <w:r w:rsidR="000C4952">
        <w:rPr>
          <w:b/>
          <w:bCs/>
        </w:rPr>
        <w:t>I</w:t>
      </w:r>
      <w:r>
        <w:rPr>
          <w:b/>
          <w:bCs/>
        </w:rPr>
        <w:t xml:space="preserve">nfants and the </w:t>
      </w:r>
      <w:r w:rsidR="000C4952">
        <w:rPr>
          <w:b/>
          <w:bCs/>
        </w:rPr>
        <w:t>U</w:t>
      </w:r>
      <w:r>
        <w:rPr>
          <w:b/>
          <w:bCs/>
        </w:rPr>
        <w:t>nder-</w:t>
      </w:r>
      <w:r w:rsidR="000C4952">
        <w:rPr>
          <w:b/>
          <w:bCs/>
        </w:rPr>
        <w:t>F</w:t>
      </w:r>
      <w:r>
        <w:rPr>
          <w:b/>
          <w:bCs/>
        </w:rPr>
        <w:t>ives</w:t>
      </w:r>
    </w:p>
    <w:p w:rsidR="00CC30EB" w:rsidRDefault="00031E25">
      <w:pPr>
        <w:bidi w:val="0"/>
        <w:rPr>
          <w:b/>
          <w:bCs/>
        </w:rPr>
      </w:pPr>
      <w:r>
        <w:rPr>
          <w:b/>
          <w:bCs/>
        </w:rPr>
        <w:t xml:space="preserve"> </w:t>
      </w:r>
    </w:p>
    <w:p w:rsidR="00CC30EB" w:rsidRDefault="00031E25">
      <w:pPr>
        <w:bidi w:val="0"/>
        <w:jc w:val="lowKashida"/>
      </w:pPr>
      <w:r>
        <w:t xml:space="preserve">Child mortality rates over the last decade in Palestine are comparable to those in upper middle-income countries. However, closer examination of the trends reveals that this is not </w:t>
      </w:r>
      <w:r>
        <w:lastRenderedPageBreak/>
        <w:t>the true case. From 1994-1999,  a drop of 6.6% in the under-five mortality rate occurred, down to 28.7 per 1000 live births from 33.2/1000.</w:t>
      </w:r>
    </w:p>
    <w:p w:rsidR="00CC30EB" w:rsidRDefault="00CC30EB">
      <w:pPr>
        <w:bidi w:val="0"/>
        <w:jc w:val="lowKashida"/>
      </w:pPr>
    </w:p>
    <w:p w:rsidR="00CC30EB" w:rsidRDefault="00031E25" w:rsidP="00905D43">
      <w:pPr>
        <w:bidi w:val="0"/>
        <w:jc w:val="lowKashida"/>
      </w:pPr>
      <w:r>
        <w:t>Noticeably, the levels of infant and the under-five child mortality rates were on the decline until 2000 when they started to rise again during the period 200</w:t>
      </w:r>
      <w:r w:rsidR="00E60083">
        <w:t>6</w:t>
      </w:r>
      <w:r>
        <w:t>-2010 due to the high rates of neonatal mortality, which affected the infants’ mortality rates in general and reflected higher risk during pregnancy.  Infant mortality rate in Palestine reached 20.</w:t>
      </w:r>
      <w:r w:rsidR="00905D43">
        <w:t>0</w:t>
      </w:r>
      <w:r>
        <w:t xml:space="preserve"> per 1000 live births between 200</w:t>
      </w:r>
      <w:r w:rsidR="00E60083">
        <w:t>6</w:t>
      </w:r>
      <w:r>
        <w:t xml:space="preserve"> and 2010. While Gaza Strip has the highest of these rates at 2</w:t>
      </w:r>
      <w:r w:rsidR="00905D43">
        <w:t>2</w:t>
      </w:r>
      <w:r>
        <w:t>.</w:t>
      </w:r>
      <w:r w:rsidR="00905D43">
        <w:t>4</w:t>
      </w:r>
      <w:r>
        <w:t xml:space="preserve"> per 1000 live birth.  </w:t>
      </w:r>
    </w:p>
    <w:p w:rsidR="00CC30EB" w:rsidRDefault="00CC30EB">
      <w:pPr>
        <w:bidi w:val="0"/>
        <w:jc w:val="lowKashida"/>
      </w:pPr>
    </w:p>
    <w:p w:rsidR="00CC30EB" w:rsidRDefault="00031E25" w:rsidP="00905D43">
      <w:pPr>
        <w:bidi w:val="0"/>
        <w:jc w:val="lowKashida"/>
      </w:pPr>
      <w:r>
        <w:t>The under-five mortality rate was 2</w:t>
      </w:r>
      <w:r w:rsidR="00905D43">
        <w:t>4</w:t>
      </w:r>
      <w:r>
        <w:t>.1 per 1000 live births between 200</w:t>
      </w:r>
      <w:r w:rsidR="00E60083">
        <w:t>6</w:t>
      </w:r>
      <w:r>
        <w:t xml:space="preserve"> and 2010. Gaza Strip had the highest rates at 2</w:t>
      </w:r>
      <w:r w:rsidR="00905D43">
        <w:t>7</w:t>
      </w:r>
      <w:r>
        <w:t xml:space="preserve">.2 per 1000 live births compared to the West </w:t>
      </w:r>
      <w:r w:rsidR="00E01D2D">
        <w:t>B</w:t>
      </w:r>
      <w:r>
        <w:t>ank at 22.</w:t>
      </w:r>
      <w:r w:rsidR="00905D43">
        <w:t>2</w:t>
      </w:r>
      <w:r>
        <w:t xml:space="preserve"> per 1000 live births .</w:t>
      </w:r>
    </w:p>
    <w:p w:rsidR="00CC30EB" w:rsidRDefault="00CC30EB">
      <w:pPr>
        <w:bidi w:val="0"/>
        <w:jc w:val="lowKashida"/>
      </w:pPr>
    </w:p>
    <w:p w:rsidR="00CC30EB" w:rsidRDefault="00CC30EB">
      <w:pPr>
        <w:bidi w:val="0"/>
        <w:jc w:val="lowKashida"/>
      </w:pPr>
    </w:p>
    <w:p w:rsidR="00CC30EB" w:rsidRPr="00905D43" w:rsidRDefault="00031E25" w:rsidP="00905D43">
      <w:pPr>
        <w:bidi w:val="0"/>
        <w:jc w:val="center"/>
        <w:rPr>
          <w:b/>
          <w:bCs/>
          <w:sz w:val="22"/>
          <w:szCs w:val="22"/>
        </w:rPr>
      </w:pPr>
      <w:r>
        <w:rPr>
          <w:sz w:val="22"/>
          <w:szCs w:val="22"/>
        </w:rPr>
        <w:t xml:space="preserve">  </w:t>
      </w:r>
      <w:r>
        <w:rPr>
          <w:b/>
          <w:bCs/>
          <w:sz w:val="22"/>
          <w:szCs w:val="22"/>
        </w:rPr>
        <w:t xml:space="preserve">Figure (2-3) : </w:t>
      </w:r>
      <w:r w:rsidRPr="00905D43">
        <w:rPr>
          <w:b/>
          <w:bCs/>
          <w:sz w:val="22"/>
          <w:szCs w:val="22"/>
        </w:rPr>
        <w:t xml:space="preserve">Infant mortality rates by </w:t>
      </w:r>
      <w:r w:rsidR="00905D43" w:rsidRPr="00905D43">
        <w:rPr>
          <w:b/>
          <w:bCs/>
          <w:sz w:val="22"/>
          <w:szCs w:val="22"/>
        </w:rPr>
        <w:t>region in 2006*, 2010</w:t>
      </w:r>
    </w:p>
    <w:p w:rsidR="00775F1C" w:rsidRDefault="00775F1C" w:rsidP="00775F1C">
      <w:pPr>
        <w:bidi w:val="0"/>
        <w:jc w:val="center"/>
        <w:rPr>
          <w:b/>
          <w:bCs/>
          <w:sz w:val="22"/>
          <w:szCs w:val="22"/>
        </w:rPr>
      </w:pPr>
      <w:r w:rsidRPr="00775F1C">
        <w:rPr>
          <w:b/>
          <w:bCs/>
          <w:noProof/>
          <w:sz w:val="22"/>
          <w:szCs w:val="22"/>
          <w:lang w:eastAsia="en-US"/>
        </w:rPr>
        <w:drawing>
          <wp:inline distT="0" distB="0" distL="0" distR="0">
            <wp:extent cx="5648325" cy="3314700"/>
            <wp:effectExtent l="57150" t="0" r="66675" b="95250"/>
            <wp:docPr id="8"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37CD3" w:rsidRDefault="00437CD3" w:rsidP="00437CD3">
      <w:pPr>
        <w:bidi w:val="0"/>
        <w:ind w:left="142" w:hanging="142"/>
        <w:jc w:val="lowKashida"/>
      </w:pPr>
      <w:r>
        <w:rPr>
          <w:b/>
          <w:bCs/>
          <w:sz w:val="18"/>
          <w:szCs w:val="18"/>
        </w:rPr>
        <w:t xml:space="preserve">Source: </w:t>
      </w:r>
      <w:r w:rsidRPr="008A2CCC">
        <w:rPr>
          <w:b/>
          <w:bCs/>
          <w:sz w:val="18"/>
          <w:szCs w:val="18"/>
        </w:rPr>
        <w:t>Palestinian Central Bureau of Statistics, 2011</w:t>
      </w:r>
      <w:r w:rsidRPr="008A2CCC">
        <w:rPr>
          <w:sz w:val="18"/>
          <w:szCs w:val="18"/>
        </w:rPr>
        <w:t>.  Palestinian Family Survey 2010</w:t>
      </w:r>
      <w:r>
        <w:rPr>
          <w:b/>
          <w:bCs/>
          <w:sz w:val="18"/>
          <w:szCs w:val="18"/>
        </w:rPr>
        <w:t>,</w:t>
      </w:r>
      <w:r w:rsidRPr="008A2CCC">
        <w:rPr>
          <w:b/>
          <w:bCs/>
          <w:sz w:val="18"/>
          <w:szCs w:val="18"/>
        </w:rPr>
        <w:t xml:space="preserve">  </w:t>
      </w:r>
      <w:r w:rsidRPr="008A2CCC">
        <w:rPr>
          <w:i/>
          <w:iCs/>
          <w:sz w:val="18"/>
          <w:szCs w:val="18"/>
        </w:rPr>
        <w:t xml:space="preserve">Main Report.   </w:t>
      </w:r>
      <w:r w:rsidRPr="008A2CCC">
        <w:rPr>
          <w:b/>
          <w:bCs/>
          <w:sz w:val="18"/>
          <w:szCs w:val="18"/>
        </w:rPr>
        <w:t>Ramallah</w:t>
      </w:r>
      <w:proofErr w:type="spellStart"/>
      <w:r w:rsidRPr="008A2CCC">
        <w:rPr>
          <w:rFonts w:hint="cs"/>
          <w:b/>
          <w:bCs/>
          <w:sz w:val="18"/>
          <w:szCs w:val="18"/>
          <w:rtl/>
          <w:lang w:val="en-AU"/>
        </w:rPr>
        <w:t>-</w:t>
      </w:r>
      <w:proofErr w:type="spellEnd"/>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905D43" w:rsidRPr="00905D43" w:rsidRDefault="00905D43" w:rsidP="00905D43">
      <w:pPr>
        <w:pStyle w:val="ListParagraph"/>
        <w:numPr>
          <w:ilvl w:val="0"/>
          <w:numId w:val="1"/>
        </w:numPr>
        <w:tabs>
          <w:tab w:val="clear" w:pos="720"/>
          <w:tab w:val="num" w:pos="567"/>
        </w:tabs>
        <w:bidi w:val="0"/>
        <w:jc w:val="lowKashida"/>
        <w:rPr>
          <w:b/>
          <w:bCs/>
          <w:sz w:val="18"/>
          <w:szCs w:val="18"/>
        </w:rPr>
      </w:pPr>
      <w:r w:rsidRPr="00905D43">
        <w:rPr>
          <w:b/>
          <w:bCs/>
          <w:sz w:val="18"/>
          <w:szCs w:val="18"/>
        </w:rPr>
        <w:t>Represents the period 2002-2006</w:t>
      </w: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E01D2D" w:rsidRDefault="00E01D2D" w:rsidP="002C4D54">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CC30EB" w:rsidRDefault="00031E25" w:rsidP="00905D43">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Pr>
          <w:rFonts w:eastAsia="Times New Roman"/>
        </w:rPr>
        <w:t xml:space="preserve">Figure (2-4) : Under five child mortality rates by </w:t>
      </w:r>
      <w:r w:rsidR="002C4D54">
        <w:rPr>
          <w:rFonts w:eastAsia="Times New Roman"/>
        </w:rPr>
        <w:t>r</w:t>
      </w:r>
      <w:r>
        <w:rPr>
          <w:rFonts w:eastAsia="Times New Roman"/>
        </w:rPr>
        <w:t>egion</w:t>
      </w:r>
      <w:r w:rsidR="00B51878">
        <w:rPr>
          <w:rFonts w:eastAsia="Times New Roman"/>
        </w:rPr>
        <w:t xml:space="preserve"> in</w:t>
      </w:r>
      <w:r w:rsidR="00905D43">
        <w:rPr>
          <w:rFonts w:eastAsia="Times New Roman"/>
        </w:rPr>
        <w:t xml:space="preserve"> </w:t>
      </w:r>
      <w:r w:rsidR="00905D43">
        <w:t>2006</w:t>
      </w:r>
      <w:r w:rsidR="00905D43">
        <w:rPr>
          <w:b w:val="0"/>
          <w:bCs w:val="0"/>
        </w:rPr>
        <w:t>*,</w:t>
      </w:r>
      <w:r w:rsidR="00905D43">
        <w:t xml:space="preserve"> 2010</w:t>
      </w:r>
    </w:p>
    <w:p w:rsidR="009F5F68" w:rsidRDefault="009F5F68">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sidRPr="009F5F68">
        <w:rPr>
          <w:rFonts w:eastAsia="Times New Roman"/>
          <w:noProof/>
          <w:lang w:eastAsia="en-US"/>
        </w:rPr>
        <w:drawing>
          <wp:inline distT="0" distB="0" distL="0" distR="0">
            <wp:extent cx="5648325" cy="3124200"/>
            <wp:effectExtent l="57150" t="0" r="66675" b="95250"/>
            <wp:docPr id="9"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C30EB" w:rsidRDefault="00031E25" w:rsidP="00437CD3">
      <w:pPr>
        <w:bidi w:val="0"/>
        <w:jc w:val="lowKashida"/>
        <w:rPr>
          <w:sz w:val="20"/>
          <w:szCs w:val="20"/>
        </w:rPr>
      </w:pPr>
      <w:r>
        <w:rPr>
          <w:rFonts w:cs="Simplified Arabic"/>
          <w:b/>
          <w:bCs/>
          <w:sz w:val="20"/>
          <w:szCs w:val="20"/>
        </w:rPr>
        <w:t xml:space="preserve"> </w:t>
      </w:r>
      <w:r w:rsidR="00437CD3">
        <w:rPr>
          <w:b/>
          <w:bCs/>
          <w:sz w:val="18"/>
          <w:szCs w:val="18"/>
        </w:rPr>
        <w:t xml:space="preserve">Source: </w:t>
      </w:r>
      <w:r w:rsidR="00437CD3" w:rsidRPr="008A2CCC">
        <w:rPr>
          <w:b/>
          <w:bCs/>
          <w:sz w:val="18"/>
          <w:szCs w:val="18"/>
        </w:rPr>
        <w:t>Palestinian Central Bureau of Statistics, 2011</w:t>
      </w:r>
      <w:r w:rsidR="00437CD3" w:rsidRPr="008A2CCC">
        <w:rPr>
          <w:sz w:val="18"/>
          <w:szCs w:val="18"/>
        </w:rPr>
        <w:t>.  Palestinian Family Survey 2010</w:t>
      </w:r>
      <w:r w:rsidR="00437CD3">
        <w:rPr>
          <w:b/>
          <w:bCs/>
          <w:sz w:val="18"/>
          <w:szCs w:val="18"/>
        </w:rPr>
        <w:t>,</w:t>
      </w:r>
      <w:r w:rsidR="00437CD3" w:rsidRPr="008A2CCC">
        <w:rPr>
          <w:b/>
          <w:bCs/>
          <w:sz w:val="18"/>
          <w:szCs w:val="18"/>
        </w:rPr>
        <w:t xml:space="preserve">  </w:t>
      </w:r>
      <w:r w:rsidR="00437CD3" w:rsidRPr="008A2CCC">
        <w:rPr>
          <w:i/>
          <w:iCs/>
          <w:sz w:val="18"/>
          <w:szCs w:val="18"/>
        </w:rPr>
        <w:t xml:space="preserve">Main Report.   </w:t>
      </w:r>
      <w:r w:rsidR="00437CD3" w:rsidRPr="008A2CCC">
        <w:rPr>
          <w:b/>
          <w:bCs/>
          <w:sz w:val="18"/>
          <w:szCs w:val="18"/>
        </w:rPr>
        <w:t>Ramallah</w:t>
      </w:r>
      <w:proofErr w:type="spellStart"/>
      <w:r w:rsidR="00437CD3" w:rsidRPr="008A2CCC">
        <w:rPr>
          <w:rFonts w:hint="cs"/>
          <w:b/>
          <w:bCs/>
          <w:sz w:val="18"/>
          <w:szCs w:val="18"/>
          <w:rtl/>
          <w:lang w:val="en-AU"/>
        </w:rPr>
        <w:t>-</w:t>
      </w:r>
      <w:proofErr w:type="spellEnd"/>
      <w:r w:rsidR="00437CD3" w:rsidRPr="008A2CCC">
        <w:rPr>
          <w:rFonts w:hint="cs"/>
          <w:b/>
          <w:bCs/>
          <w:sz w:val="18"/>
          <w:szCs w:val="18"/>
          <w:rtl/>
          <w:lang w:val="en-AU"/>
        </w:rPr>
        <w:t xml:space="preserve"> </w:t>
      </w:r>
      <w:r w:rsidR="00437CD3">
        <w:rPr>
          <w:b/>
          <w:bCs/>
          <w:sz w:val="18"/>
          <w:szCs w:val="18"/>
        </w:rPr>
        <w:t xml:space="preserve">    </w:t>
      </w:r>
      <w:r w:rsidR="00437CD3" w:rsidRPr="008A2CCC">
        <w:rPr>
          <w:b/>
          <w:bCs/>
          <w:sz w:val="18"/>
          <w:szCs w:val="18"/>
        </w:rPr>
        <w:t>Palestine</w:t>
      </w:r>
    </w:p>
    <w:p w:rsidR="00905D43" w:rsidRPr="00905D43" w:rsidRDefault="00905D43" w:rsidP="00905D43">
      <w:pPr>
        <w:pStyle w:val="ListParagraph"/>
        <w:numPr>
          <w:ilvl w:val="0"/>
          <w:numId w:val="1"/>
        </w:numPr>
        <w:tabs>
          <w:tab w:val="clear" w:pos="720"/>
          <w:tab w:val="num" w:pos="284"/>
        </w:tabs>
        <w:bidi w:val="0"/>
        <w:ind w:hanging="578"/>
        <w:jc w:val="lowKashida"/>
        <w:rPr>
          <w:b/>
          <w:bCs/>
          <w:sz w:val="18"/>
          <w:szCs w:val="18"/>
        </w:rPr>
      </w:pPr>
      <w:r w:rsidRPr="00905D43">
        <w:rPr>
          <w:b/>
          <w:bCs/>
          <w:sz w:val="18"/>
          <w:szCs w:val="18"/>
        </w:rPr>
        <w:t>Represents the period 2002-2006</w:t>
      </w:r>
    </w:p>
    <w:p w:rsidR="00905D43" w:rsidRDefault="00905D43" w:rsidP="00905D43">
      <w:pPr>
        <w:bidi w:val="0"/>
        <w:jc w:val="lowKashida"/>
        <w:rPr>
          <w:sz w:val="20"/>
          <w:szCs w:val="20"/>
        </w:rPr>
      </w:pPr>
    </w:p>
    <w:p w:rsidR="00437CD3" w:rsidRDefault="00437CD3" w:rsidP="00437CD3">
      <w:pPr>
        <w:bidi w:val="0"/>
        <w:jc w:val="lowKashida"/>
      </w:pPr>
    </w:p>
    <w:p w:rsidR="00CC30EB" w:rsidRDefault="00031E25" w:rsidP="00437CD3">
      <w:pPr>
        <w:bidi w:val="0"/>
        <w:jc w:val="lowKashida"/>
        <w:rPr>
          <w:b/>
          <w:bCs/>
          <w:lang w:eastAsia="en-US"/>
        </w:rPr>
      </w:pPr>
      <w:r>
        <w:rPr>
          <w:b/>
          <w:bCs/>
          <w:lang w:eastAsia="en-US"/>
        </w:rPr>
        <w:t xml:space="preserve">Respiratory infections are main leading causes of infant mortality in the West Bank; Conditions in the </w:t>
      </w:r>
      <w:r w:rsidR="00380FA3">
        <w:rPr>
          <w:b/>
          <w:bCs/>
          <w:lang w:eastAsia="en-US"/>
        </w:rPr>
        <w:t>prenatal</w:t>
      </w:r>
      <w:r>
        <w:rPr>
          <w:b/>
          <w:bCs/>
          <w:lang w:eastAsia="en-US"/>
        </w:rPr>
        <w:t xml:space="preserve"> period is main leading cause of deaths among children under five years</w:t>
      </w:r>
    </w:p>
    <w:p w:rsidR="00CC30EB" w:rsidRDefault="00CC30EB">
      <w:pPr>
        <w:autoSpaceDE w:val="0"/>
        <w:autoSpaceDN w:val="0"/>
        <w:bidi w:val="0"/>
        <w:adjustRightInd w:val="0"/>
        <w:rPr>
          <w:sz w:val="20"/>
          <w:szCs w:val="20"/>
          <w:lang w:eastAsia="en-US"/>
        </w:rPr>
      </w:pPr>
    </w:p>
    <w:p w:rsidR="00CC30EB" w:rsidRDefault="00031E25" w:rsidP="0010313A">
      <w:pPr>
        <w:pStyle w:val="BodyText3"/>
        <w:autoSpaceDE w:val="0"/>
        <w:autoSpaceDN w:val="0"/>
        <w:adjustRightInd w:val="0"/>
        <w:jc w:val="lowKashida"/>
        <w:rPr>
          <w:lang w:eastAsia="en-US"/>
        </w:rPr>
      </w:pPr>
      <w:r>
        <w:rPr>
          <w:lang w:eastAsia="en-US"/>
        </w:rPr>
        <w:t xml:space="preserve">Based on Ministry of Health data in </w:t>
      </w:r>
      <w:r w:rsidR="0010313A">
        <w:rPr>
          <w:lang w:eastAsia="en-US"/>
        </w:rPr>
        <w:t>2010</w:t>
      </w:r>
      <w:r>
        <w:rPr>
          <w:lang w:eastAsia="en-US"/>
        </w:rPr>
        <w:t>, the main leading cause of infant mortality in the West Bank was respiratory tract infections with 3</w:t>
      </w:r>
      <w:r w:rsidR="0010313A">
        <w:rPr>
          <w:lang w:eastAsia="en-US"/>
        </w:rPr>
        <w:t>7</w:t>
      </w:r>
      <w:r>
        <w:rPr>
          <w:lang w:eastAsia="en-US"/>
        </w:rPr>
        <w:t>.</w:t>
      </w:r>
      <w:r w:rsidR="0010313A">
        <w:rPr>
          <w:lang w:eastAsia="en-US"/>
        </w:rPr>
        <w:t>6</w:t>
      </w:r>
      <w:r>
        <w:rPr>
          <w:lang w:eastAsia="en-US"/>
        </w:rPr>
        <w:t>%; 3</w:t>
      </w:r>
      <w:r w:rsidR="0010313A">
        <w:rPr>
          <w:lang w:eastAsia="en-US"/>
        </w:rPr>
        <w:t>7</w:t>
      </w:r>
      <w:r>
        <w:rPr>
          <w:lang w:eastAsia="en-US"/>
        </w:rPr>
        <w:t>.</w:t>
      </w:r>
      <w:r w:rsidR="0010313A">
        <w:rPr>
          <w:lang w:eastAsia="en-US"/>
        </w:rPr>
        <w:t>5</w:t>
      </w:r>
      <w:r>
        <w:rPr>
          <w:lang w:eastAsia="en-US"/>
        </w:rPr>
        <w:t>% for male children and 3</w:t>
      </w:r>
      <w:r w:rsidR="0010313A">
        <w:rPr>
          <w:lang w:eastAsia="en-US"/>
        </w:rPr>
        <w:t>7</w:t>
      </w:r>
      <w:r>
        <w:rPr>
          <w:lang w:eastAsia="en-US"/>
        </w:rPr>
        <w:t>.</w:t>
      </w:r>
      <w:r w:rsidR="0010313A">
        <w:rPr>
          <w:lang w:eastAsia="en-US"/>
        </w:rPr>
        <w:t>7</w:t>
      </w:r>
      <w:r>
        <w:rPr>
          <w:lang w:eastAsia="en-US"/>
        </w:rPr>
        <w:t xml:space="preserve">% for female. This was followed by congenital anomalies with </w:t>
      </w:r>
      <w:r w:rsidR="0010313A">
        <w:rPr>
          <w:lang w:eastAsia="en-US"/>
        </w:rPr>
        <w:t>19.0</w:t>
      </w:r>
      <w:r>
        <w:rPr>
          <w:lang w:eastAsia="en-US"/>
        </w:rPr>
        <w:t xml:space="preserve">%; </w:t>
      </w:r>
      <w:r w:rsidR="0010313A">
        <w:rPr>
          <w:lang w:eastAsia="en-US"/>
        </w:rPr>
        <w:t>18</w:t>
      </w:r>
      <w:r>
        <w:rPr>
          <w:lang w:eastAsia="en-US"/>
        </w:rPr>
        <w:t>.</w:t>
      </w:r>
      <w:r w:rsidR="0010313A">
        <w:rPr>
          <w:lang w:eastAsia="en-US"/>
        </w:rPr>
        <w:t>7</w:t>
      </w:r>
      <w:r>
        <w:rPr>
          <w:lang w:eastAsia="en-US"/>
        </w:rPr>
        <w:t xml:space="preserve">% for male children and </w:t>
      </w:r>
      <w:r w:rsidR="0010313A">
        <w:rPr>
          <w:lang w:eastAsia="en-US"/>
        </w:rPr>
        <w:t>19</w:t>
      </w:r>
      <w:r>
        <w:rPr>
          <w:lang w:eastAsia="en-US"/>
        </w:rPr>
        <w:t>.</w:t>
      </w:r>
      <w:r w:rsidR="0010313A">
        <w:rPr>
          <w:lang w:eastAsia="en-US"/>
        </w:rPr>
        <w:t>3</w:t>
      </w:r>
      <w:r>
        <w:rPr>
          <w:lang w:eastAsia="en-US"/>
        </w:rPr>
        <w:t xml:space="preserve">% for female children. </w:t>
      </w:r>
      <w:r w:rsidR="0010313A">
        <w:rPr>
          <w:lang w:eastAsia="en-US"/>
        </w:rPr>
        <w:t xml:space="preserve">Infectious diseases were the cause for 12.2% of infant mortality; 12.7% for male children and 11.5% for female children. </w:t>
      </w:r>
      <w:r>
        <w:rPr>
          <w:lang w:eastAsia="en-US"/>
        </w:rPr>
        <w:t xml:space="preserve">Infant mortality caused by premature and low birth weight was </w:t>
      </w:r>
      <w:r w:rsidR="0010313A">
        <w:rPr>
          <w:lang w:eastAsia="en-US"/>
        </w:rPr>
        <w:t>11</w:t>
      </w:r>
      <w:r>
        <w:rPr>
          <w:lang w:eastAsia="en-US"/>
        </w:rPr>
        <w:t>.</w:t>
      </w:r>
      <w:r w:rsidR="0010313A">
        <w:rPr>
          <w:lang w:eastAsia="en-US"/>
        </w:rPr>
        <w:t>3</w:t>
      </w:r>
      <w:r>
        <w:rPr>
          <w:lang w:eastAsia="en-US"/>
        </w:rPr>
        <w:t xml:space="preserve">%; </w:t>
      </w:r>
      <w:r w:rsidR="0010313A">
        <w:rPr>
          <w:lang w:eastAsia="en-US"/>
        </w:rPr>
        <w:t>11</w:t>
      </w:r>
      <w:r>
        <w:rPr>
          <w:lang w:eastAsia="en-US"/>
        </w:rPr>
        <w:t>.</w:t>
      </w:r>
      <w:r w:rsidR="0010313A">
        <w:rPr>
          <w:lang w:eastAsia="en-US"/>
        </w:rPr>
        <w:t>6</w:t>
      </w:r>
      <w:r>
        <w:rPr>
          <w:lang w:eastAsia="en-US"/>
        </w:rPr>
        <w:t>% for male children and 1</w:t>
      </w:r>
      <w:r w:rsidR="0010313A">
        <w:rPr>
          <w:lang w:eastAsia="en-US"/>
        </w:rPr>
        <w:t>0</w:t>
      </w:r>
      <w:r>
        <w:rPr>
          <w:lang w:eastAsia="en-US"/>
        </w:rPr>
        <w:t>.</w:t>
      </w:r>
      <w:r w:rsidR="0010313A">
        <w:rPr>
          <w:lang w:eastAsia="en-US"/>
        </w:rPr>
        <w:t>9</w:t>
      </w:r>
      <w:r>
        <w:rPr>
          <w:lang w:eastAsia="en-US"/>
        </w:rPr>
        <w:t xml:space="preserve">% for female children. </w:t>
      </w:r>
    </w:p>
    <w:p w:rsidR="00CC30EB" w:rsidRDefault="00CC30EB">
      <w:pPr>
        <w:pStyle w:val="BodyText3"/>
        <w:autoSpaceDE w:val="0"/>
        <w:autoSpaceDN w:val="0"/>
        <w:adjustRightInd w:val="0"/>
        <w:jc w:val="lowKashida"/>
        <w:rPr>
          <w:lang w:eastAsia="en-US"/>
        </w:rPr>
      </w:pPr>
    </w:p>
    <w:p w:rsidR="00CC30EB" w:rsidRDefault="00031E25" w:rsidP="00CF2D2E">
      <w:pPr>
        <w:pStyle w:val="BodyText3"/>
        <w:autoSpaceDE w:val="0"/>
        <w:autoSpaceDN w:val="0"/>
        <w:adjustRightInd w:val="0"/>
        <w:jc w:val="lowKashida"/>
        <w:rPr>
          <w:lang w:eastAsia="en-US"/>
        </w:rPr>
      </w:pPr>
      <w:r>
        <w:rPr>
          <w:lang w:eastAsia="en-US"/>
        </w:rPr>
        <w:t xml:space="preserve">According to data from Ministry of Health in </w:t>
      </w:r>
      <w:r w:rsidR="0010313A">
        <w:rPr>
          <w:lang w:eastAsia="en-US"/>
        </w:rPr>
        <w:t>2010</w:t>
      </w:r>
      <w:r>
        <w:rPr>
          <w:lang w:eastAsia="en-US"/>
        </w:rPr>
        <w:t xml:space="preserve">, the main leading cause of deaths among children under five years in the West Bank was conditions in the prenatal period, totaling </w:t>
      </w:r>
      <w:r w:rsidR="00907F92">
        <w:rPr>
          <w:lang w:eastAsia="en-US"/>
        </w:rPr>
        <w:t>38</w:t>
      </w:r>
      <w:r>
        <w:rPr>
          <w:lang w:eastAsia="en-US"/>
        </w:rPr>
        <w:t>.</w:t>
      </w:r>
      <w:r w:rsidR="00907F92">
        <w:rPr>
          <w:lang w:eastAsia="en-US"/>
        </w:rPr>
        <w:t>0</w:t>
      </w:r>
      <w:r>
        <w:rPr>
          <w:lang w:eastAsia="en-US"/>
        </w:rPr>
        <w:t>%; 3</w:t>
      </w:r>
      <w:r w:rsidR="00907F92">
        <w:rPr>
          <w:lang w:eastAsia="en-US"/>
        </w:rPr>
        <w:t>4</w:t>
      </w:r>
      <w:r>
        <w:rPr>
          <w:lang w:eastAsia="en-US"/>
        </w:rPr>
        <w:t xml:space="preserve">.6% for male children and </w:t>
      </w:r>
      <w:r w:rsidR="00907F92">
        <w:rPr>
          <w:lang w:eastAsia="en-US"/>
        </w:rPr>
        <w:t>42</w:t>
      </w:r>
      <w:r>
        <w:rPr>
          <w:lang w:eastAsia="en-US"/>
        </w:rPr>
        <w:t>.</w:t>
      </w:r>
      <w:r w:rsidR="00907F92">
        <w:rPr>
          <w:lang w:eastAsia="en-US"/>
        </w:rPr>
        <w:t>3</w:t>
      </w:r>
      <w:r>
        <w:rPr>
          <w:lang w:eastAsia="en-US"/>
        </w:rPr>
        <w:t xml:space="preserve">% for female children. Causes related to congenital anomalies was </w:t>
      </w:r>
      <w:r w:rsidR="00907F92">
        <w:rPr>
          <w:lang w:eastAsia="en-US"/>
        </w:rPr>
        <w:t>18</w:t>
      </w:r>
      <w:r>
        <w:rPr>
          <w:lang w:eastAsia="en-US"/>
        </w:rPr>
        <w:t>.</w:t>
      </w:r>
      <w:r w:rsidR="00907F92">
        <w:rPr>
          <w:lang w:eastAsia="en-US"/>
        </w:rPr>
        <w:t>0</w:t>
      </w:r>
      <w:r>
        <w:rPr>
          <w:lang w:eastAsia="en-US"/>
        </w:rPr>
        <w:t xml:space="preserve">%, and related to </w:t>
      </w:r>
      <w:r w:rsidR="00907F92" w:rsidRPr="00907F92">
        <w:rPr>
          <w:lang w:eastAsia="en-US"/>
        </w:rPr>
        <w:t>Septicaemia</w:t>
      </w:r>
      <w:r w:rsidR="00907F92">
        <w:rPr>
          <w:lang w:eastAsia="en-US"/>
        </w:rPr>
        <w:t xml:space="preserve"> </w:t>
      </w:r>
      <w:r>
        <w:rPr>
          <w:lang w:eastAsia="en-US"/>
        </w:rPr>
        <w:t>was 11.</w:t>
      </w:r>
      <w:r w:rsidR="00907F92">
        <w:rPr>
          <w:lang w:eastAsia="en-US"/>
        </w:rPr>
        <w:t>1</w:t>
      </w:r>
      <w:r>
        <w:rPr>
          <w:lang w:eastAsia="en-US"/>
        </w:rPr>
        <w:t>%.</w:t>
      </w:r>
    </w:p>
    <w:p w:rsidR="00CC30EB" w:rsidRDefault="00CC30EB">
      <w:pPr>
        <w:pStyle w:val="BodyText3"/>
        <w:autoSpaceDE w:val="0"/>
        <w:autoSpaceDN w:val="0"/>
        <w:adjustRightInd w:val="0"/>
        <w:jc w:val="lowKashida"/>
        <w:rPr>
          <w:lang w:eastAsia="en-US"/>
        </w:rPr>
      </w:pPr>
    </w:p>
    <w:p w:rsidR="00CC30EB" w:rsidRDefault="00031E25">
      <w:pPr>
        <w:pStyle w:val="BodyText3"/>
        <w:autoSpaceDE w:val="0"/>
        <w:autoSpaceDN w:val="0"/>
        <w:adjustRightInd w:val="0"/>
        <w:jc w:val="lowKashida"/>
        <w:rPr>
          <w:b/>
          <w:bCs/>
          <w:lang w:eastAsia="en-US"/>
        </w:rPr>
      </w:pPr>
      <w:r>
        <w:rPr>
          <w:b/>
          <w:bCs/>
          <w:lang w:eastAsia="en-US"/>
        </w:rPr>
        <w:t>About fifth of the children (6-59 months) have anemia</w:t>
      </w:r>
      <w:r>
        <w:rPr>
          <w:rStyle w:val="FootnoteReference"/>
          <w:b/>
          <w:bCs/>
          <w:lang w:eastAsia="en-US"/>
        </w:rPr>
        <w:footnoteReference w:id="1"/>
      </w:r>
      <w:r>
        <w:rPr>
          <w:b/>
          <w:bCs/>
          <w:lang w:eastAsia="en-US"/>
        </w:rPr>
        <w:t xml:space="preserve"> </w:t>
      </w:r>
    </w:p>
    <w:p w:rsidR="00CC30EB" w:rsidRDefault="00031E25" w:rsidP="00E01D2D">
      <w:pPr>
        <w:pStyle w:val="BodyText3"/>
        <w:autoSpaceDE w:val="0"/>
        <w:autoSpaceDN w:val="0"/>
        <w:adjustRightInd w:val="0"/>
        <w:jc w:val="both"/>
        <w:rPr>
          <w:color w:val="auto"/>
        </w:rPr>
      </w:pPr>
      <w:r>
        <w:rPr>
          <w:lang w:eastAsia="en-US"/>
        </w:rPr>
        <w:br/>
      </w:r>
      <w:r>
        <w:rPr>
          <w:color w:val="auto"/>
        </w:rPr>
        <w:t xml:space="preserve">19.4% of children </w:t>
      </w:r>
      <w:r w:rsidR="000A283A">
        <w:rPr>
          <w:color w:val="auto"/>
        </w:rPr>
        <w:t xml:space="preserve">of </w:t>
      </w:r>
      <w:r>
        <w:rPr>
          <w:color w:val="auto"/>
        </w:rPr>
        <w:t>6-59 months have anemia</w:t>
      </w:r>
      <w:r w:rsidR="00E60083" w:rsidRPr="00E60083">
        <w:rPr>
          <w:lang w:eastAsia="en-US"/>
        </w:rPr>
        <w:t xml:space="preserve"> </w:t>
      </w:r>
      <w:r w:rsidR="00E60083">
        <w:rPr>
          <w:lang w:eastAsia="en-US"/>
        </w:rPr>
        <w:t>in 2010</w:t>
      </w:r>
      <w:r w:rsidR="00E60083">
        <w:rPr>
          <w:color w:val="auto"/>
        </w:rPr>
        <w:t xml:space="preserve"> </w:t>
      </w:r>
      <w:r>
        <w:rPr>
          <w:color w:val="auto"/>
        </w:rPr>
        <w:t xml:space="preserve">; 25.6% in the West Bank and 13.4% in Gaza Strip. Qalqilya governorate reported the  highest rate of anemia among children; 32.3%, followed by Salfit and Nablus governorate; 19.7 and %19.4% respectively. On the other hand, </w:t>
      </w:r>
      <w:proofErr w:type="spellStart"/>
      <w:r>
        <w:rPr>
          <w:color w:val="auto"/>
        </w:rPr>
        <w:t>Deir</w:t>
      </w:r>
      <w:proofErr w:type="spellEnd"/>
      <w:r>
        <w:rPr>
          <w:color w:val="auto"/>
        </w:rPr>
        <w:t xml:space="preserve"> AL-</w:t>
      </w:r>
      <w:proofErr w:type="spellStart"/>
      <w:r>
        <w:rPr>
          <w:color w:val="auto"/>
        </w:rPr>
        <w:t>Balah</w:t>
      </w:r>
      <w:proofErr w:type="spellEnd"/>
      <w:r>
        <w:rPr>
          <w:color w:val="auto"/>
        </w:rPr>
        <w:t xml:space="preserve"> governorate reported the highest rate of anemia; 41.4%,  followed by Gaza and Khan </w:t>
      </w:r>
      <w:proofErr w:type="spellStart"/>
      <w:r>
        <w:rPr>
          <w:color w:val="auto"/>
        </w:rPr>
        <w:t>Yunis</w:t>
      </w:r>
      <w:proofErr w:type="spellEnd"/>
      <w:r>
        <w:rPr>
          <w:color w:val="auto"/>
        </w:rPr>
        <w:t xml:space="preserve"> governorates; 31.3% and  21.8%, respectively.</w:t>
      </w:r>
    </w:p>
    <w:p w:rsidR="00F86936" w:rsidRDefault="00F86936">
      <w:pPr>
        <w:pStyle w:val="BodyText3"/>
        <w:autoSpaceDE w:val="0"/>
        <w:autoSpaceDN w:val="0"/>
        <w:adjustRightInd w:val="0"/>
        <w:rPr>
          <w:color w:val="auto"/>
        </w:rPr>
      </w:pPr>
    </w:p>
    <w:p w:rsidR="00CC30EB" w:rsidRDefault="00031E25" w:rsidP="00437CD3">
      <w:pPr>
        <w:pStyle w:val="BodyText3"/>
        <w:autoSpaceDE w:val="0"/>
        <w:autoSpaceDN w:val="0"/>
        <w:adjustRightInd w:val="0"/>
        <w:jc w:val="lowKashida"/>
        <w:rPr>
          <w:b/>
          <w:bCs/>
        </w:rPr>
      </w:pPr>
      <w:r>
        <w:rPr>
          <w:b/>
          <w:bCs/>
        </w:rPr>
        <w:t xml:space="preserve">2.4 Differential indicators for child survival (indicators related to maternal health) </w:t>
      </w:r>
    </w:p>
    <w:p w:rsidR="00CC30EB" w:rsidRPr="008E15B5" w:rsidRDefault="00CC30EB">
      <w:pPr>
        <w:bidi w:val="0"/>
        <w:jc w:val="both"/>
        <w:rPr>
          <w:b/>
          <w:bCs/>
          <w:color w:val="000000"/>
          <w:sz w:val="18"/>
          <w:szCs w:val="18"/>
        </w:rPr>
      </w:pPr>
    </w:p>
    <w:p w:rsidR="00CC30EB" w:rsidRDefault="00031E25">
      <w:pPr>
        <w:pStyle w:val="Heading8"/>
        <w:rPr>
          <w:i/>
          <w:iCs/>
        </w:rPr>
      </w:pPr>
      <w:r>
        <w:rPr>
          <w:i/>
          <w:iCs/>
        </w:rPr>
        <w:t>Goal 5: Improve maternal health</w:t>
      </w:r>
    </w:p>
    <w:p w:rsidR="00CC30EB" w:rsidRPr="008E15B5" w:rsidRDefault="00CC30EB">
      <w:pPr>
        <w:bidi w:val="0"/>
        <w:rPr>
          <w:b/>
          <w:bCs/>
          <w:sz w:val="20"/>
          <w:szCs w:val="20"/>
          <w:rtl/>
          <w:lang w:val="en-GB"/>
        </w:rPr>
      </w:pPr>
    </w:p>
    <w:p w:rsidR="00CC30EB" w:rsidRDefault="00031E25">
      <w:pPr>
        <w:bidi w:val="0"/>
        <w:rPr>
          <w:b/>
          <w:bCs/>
          <w:i/>
          <w:iCs/>
        </w:rPr>
      </w:pPr>
      <w:r>
        <w:rPr>
          <w:b/>
          <w:bCs/>
          <w:i/>
          <w:iCs/>
        </w:rPr>
        <w:t>Reduce by three quarters the maternal mortality ratio by 2015 through addressing the following key indicators:</w:t>
      </w:r>
      <w:r>
        <w:rPr>
          <w:b/>
          <w:bCs/>
          <w:i/>
          <w:iCs/>
        </w:rPr>
        <w:br/>
      </w:r>
    </w:p>
    <w:p w:rsidR="00CC30EB" w:rsidRDefault="00031E25">
      <w:pPr>
        <w:numPr>
          <w:ilvl w:val="0"/>
          <w:numId w:val="2"/>
        </w:numPr>
        <w:bidi w:val="0"/>
        <w:ind w:right="0"/>
        <w:rPr>
          <w:b/>
          <w:bCs/>
          <w:i/>
          <w:iCs/>
        </w:rPr>
      </w:pPr>
      <w:r>
        <w:rPr>
          <w:b/>
          <w:bCs/>
          <w:i/>
          <w:iCs/>
        </w:rPr>
        <w:t xml:space="preserve">maternal mortality rate and </w:t>
      </w:r>
    </w:p>
    <w:p w:rsidR="00CC30EB" w:rsidRDefault="00031E25">
      <w:pPr>
        <w:numPr>
          <w:ilvl w:val="0"/>
          <w:numId w:val="2"/>
        </w:numPr>
        <w:bidi w:val="0"/>
        <w:ind w:right="0"/>
        <w:rPr>
          <w:b/>
          <w:bCs/>
          <w:i/>
          <w:iCs/>
        </w:rPr>
      </w:pPr>
      <w:r>
        <w:rPr>
          <w:b/>
          <w:bCs/>
          <w:i/>
          <w:iCs/>
        </w:rPr>
        <w:t xml:space="preserve">proportion of births attended by skilled health personnel. </w:t>
      </w:r>
    </w:p>
    <w:p w:rsidR="00CC30EB" w:rsidRPr="008E15B5" w:rsidRDefault="00CC30EB">
      <w:pPr>
        <w:bidi w:val="0"/>
        <w:rPr>
          <w:b/>
          <w:bCs/>
          <w:i/>
          <w:iCs/>
          <w:sz w:val="18"/>
          <w:szCs w:val="18"/>
        </w:rPr>
      </w:pPr>
    </w:p>
    <w:p w:rsidR="00CC30EB" w:rsidRDefault="00031E25">
      <w:pPr>
        <w:bidi w:val="0"/>
        <w:rPr>
          <w:b/>
          <w:bCs/>
        </w:rPr>
      </w:pPr>
      <w:r>
        <w:rPr>
          <w:b/>
          <w:bCs/>
        </w:rPr>
        <w:t>High coverage of antenatal care, however, quality of such care is questionable</w:t>
      </w:r>
    </w:p>
    <w:p w:rsidR="00CC30EB" w:rsidRPr="008E15B5" w:rsidRDefault="00CC30EB">
      <w:pPr>
        <w:bidi w:val="0"/>
        <w:rPr>
          <w:sz w:val="12"/>
          <w:szCs w:val="12"/>
        </w:rPr>
      </w:pPr>
    </w:p>
    <w:p w:rsidR="00CC30EB" w:rsidRDefault="00031E25">
      <w:pPr>
        <w:bidi w:val="0"/>
        <w:jc w:val="lowKashida"/>
        <w:textAlignment w:val="top"/>
      </w:pPr>
      <w:r>
        <w:t>The data indicate that the majority of women received health care by qualified staff during their pregnancy, the data did not show variation at the level of the West Bank and Gaza Strip. Despite the rise in this ratio, still remains the question of quality of service as the episode that needs further research.</w:t>
      </w:r>
    </w:p>
    <w:p w:rsidR="00CC30EB" w:rsidRDefault="00CC30EB">
      <w:pPr>
        <w:bidi w:val="0"/>
        <w:jc w:val="lowKashida"/>
        <w:rPr>
          <w:sz w:val="16"/>
          <w:szCs w:val="16"/>
        </w:rPr>
      </w:pPr>
    </w:p>
    <w:p w:rsidR="00CC30EB" w:rsidRDefault="00031E25">
      <w:pPr>
        <w:bidi w:val="0"/>
        <w:textAlignment w:val="top"/>
        <w:rPr>
          <w:b/>
          <w:bCs/>
        </w:rPr>
      </w:pPr>
      <w:r>
        <w:rPr>
          <w:b/>
          <w:bCs/>
        </w:rPr>
        <w:t>A high proportion of pregnant women (15-49 years) suffer from anemia</w:t>
      </w:r>
      <w:r>
        <w:rPr>
          <w:rStyle w:val="FootnoteReference"/>
          <w:sz w:val="16"/>
          <w:szCs w:val="16"/>
          <w:vertAlign w:val="baseline"/>
        </w:rPr>
        <w:footnoteReference w:id="2"/>
      </w:r>
      <w:r>
        <w:rPr>
          <w:sz w:val="16"/>
          <w:szCs w:val="16"/>
        </w:rPr>
        <w:t xml:space="preserve"> </w:t>
      </w:r>
      <w:r>
        <w:rPr>
          <w:b/>
          <w:bCs/>
        </w:rPr>
        <w:t>in spite of high coverage of health care during pregnancy</w:t>
      </w:r>
    </w:p>
    <w:p w:rsidR="00CC30EB" w:rsidRDefault="00031E25" w:rsidP="00437CD3">
      <w:pPr>
        <w:bidi w:val="0"/>
        <w:jc w:val="lowKashida"/>
        <w:textAlignment w:val="top"/>
        <w:rPr>
          <w:lang w:val="pl-PL"/>
        </w:rPr>
      </w:pPr>
      <w:r>
        <w:rPr>
          <w:b/>
          <w:bCs/>
        </w:rPr>
        <w:t xml:space="preserve"> </w:t>
      </w:r>
      <w:r>
        <w:rPr>
          <w:b/>
          <w:bCs/>
        </w:rPr>
        <w:br/>
      </w:r>
      <w:r>
        <w:t>26.7% of pregnant women aged 15-49 years  have anemia</w:t>
      </w:r>
      <w:r w:rsidR="00E60083" w:rsidRPr="00E60083">
        <w:rPr>
          <w:lang w:eastAsia="en-US"/>
        </w:rPr>
        <w:t xml:space="preserve"> </w:t>
      </w:r>
      <w:r w:rsidR="00E60083">
        <w:rPr>
          <w:lang w:eastAsia="en-US"/>
        </w:rPr>
        <w:t>in 2010</w:t>
      </w:r>
      <w:r w:rsidR="00E60083">
        <w:t xml:space="preserve"> </w:t>
      </w:r>
      <w:r>
        <w:t xml:space="preserve">; 15.4% in the West Bank and 39.1% in Gaza Strip. </w:t>
      </w:r>
    </w:p>
    <w:p w:rsidR="00CC30EB" w:rsidRPr="008E15B5" w:rsidRDefault="00CC30EB">
      <w:pPr>
        <w:bidi w:val="0"/>
        <w:jc w:val="lowKashida"/>
        <w:rPr>
          <w:lang w:val="pl-PL"/>
        </w:rPr>
      </w:pPr>
    </w:p>
    <w:p w:rsidR="00CC30EB" w:rsidRDefault="00031E25">
      <w:pPr>
        <w:bidi w:val="0"/>
        <w:jc w:val="lowKashida"/>
        <w:rPr>
          <w:b/>
          <w:bCs/>
        </w:rPr>
      </w:pPr>
      <w:r>
        <w:rPr>
          <w:b/>
          <w:bCs/>
        </w:rPr>
        <w:t>High rate of safe deliveries but access to the service remains a serious challenge</w:t>
      </w:r>
    </w:p>
    <w:p w:rsidR="00CC30EB" w:rsidRPr="008E15B5" w:rsidRDefault="00CC30EB">
      <w:pPr>
        <w:bidi w:val="0"/>
        <w:jc w:val="lowKashida"/>
        <w:rPr>
          <w:b/>
          <w:bCs/>
          <w:sz w:val="22"/>
          <w:szCs w:val="22"/>
        </w:rPr>
      </w:pPr>
    </w:p>
    <w:p w:rsidR="00CC30EB" w:rsidRDefault="00031E25">
      <w:pPr>
        <w:bidi w:val="0"/>
        <w:jc w:val="lowKashida"/>
      </w:pPr>
      <w:r>
        <w:t>99.4% of deliveries in 2010 occurred under safe conditions where the West Bank recorded the highest rates; while there is no significant variations between governorates. Rates of deliveries occurring at health facilities rose by 4.9% between 2000 and 2010.</w:t>
      </w:r>
    </w:p>
    <w:p w:rsidR="00CC30EB" w:rsidRDefault="00CC30EB">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p>
    <w:p w:rsidR="00CC30EB" w:rsidRDefault="00031E25" w:rsidP="0049384B">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Pr>
          <w:rFonts w:eastAsia="Times New Roman"/>
        </w:rPr>
        <w:t>Figure (2-5): Percentage of deliveries occurred at health institutions</w:t>
      </w:r>
      <w:r w:rsidR="002C4D54">
        <w:rPr>
          <w:rFonts w:eastAsia="Times New Roman"/>
        </w:rPr>
        <w:t xml:space="preserve"> by region</w:t>
      </w:r>
      <w:r w:rsidR="0049384B">
        <w:rPr>
          <w:rFonts w:eastAsia="Times New Roman"/>
        </w:rPr>
        <w:t xml:space="preserve"> in  </w:t>
      </w:r>
      <w:r>
        <w:rPr>
          <w:rFonts w:eastAsia="Times New Roman"/>
        </w:rPr>
        <w:t>2000-2010</w:t>
      </w:r>
    </w:p>
    <w:p w:rsidR="008E15B5" w:rsidRDefault="008E15B5">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sidRPr="008E15B5">
        <w:rPr>
          <w:rFonts w:eastAsia="Times New Roman"/>
          <w:noProof/>
          <w:lang w:eastAsia="en-US"/>
        </w:rPr>
        <w:drawing>
          <wp:inline distT="0" distB="0" distL="0" distR="0">
            <wp:extent cx="5648325" cy="3114675"/>
            <wp:effectExtent l="57150" t="0" r="66675" b="85725"/>
            <wp:docPr id="1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C30EB" w:rsidRDefault="00437CD3">
      <w:pPr>
        <w:bidi w:val="0"/>
        <w:jc w:val="lowKashida"/>
        <w:rPr>
          <w:sz w:val="20"/>
          <w:szCs w:val="20"/>
        </w:rPr>
      </w:pPr>
      <w:r>
        <w:rPr>
          <w:b/>
          <w:bCs/>
          <w:sz w:val="18"/>
          <w:szCs w:val="18"/>
        </w:rPr>
        <w:lastRenderedPageBreak/>
        <w:t xml:space="preserve">Source: </w:t>
      </w:r>
      <w:r w:rsidRPr="008A2CCC">
        <w:rPr>
          <w:b/>
          <w:bCs/>
          <w:sz w:val="18"/>
          <w:szCs w:val="18"/>
        </w:rPr>
        <w:t>Palestinian Central Bureau of Statistics, 2011</w:t>
      </w:r>
      <w:r w:rsidRPr="008A2CCC">
        <w:rPr>
          <w:sz w:val="18"/>
          <w:szCs w:val="18"/>
        </w:rPr>
        <w:t>.  Palestinian Family Survey 2010</w:t>
      </w:r>
      <w:r>
        <w:rPr>
          <w:b/>
          <w:bCs/>
          <w:sz w:val="18"/>
          <w:szCs w:val="18"/>
        </w:rPr>
        <w:t>,</w:t>
      </w:r>
      <w:r w:rsidRPr="008A2CCC">
        <w:rPr>
          <w:b/>
          <w:bCs/>
          <w:sz w:val="18"/>
          <w:szCs w:val="18"/>
        </w:rPr>
        <w:t xml:space="preserve">  </w:t>
      </w:r>
      <w:r w:rsidRPr="008A2CCC">
        <w:rPr>
          <w:i/>
          <w:iCs/>
          <w:sz w:val="18"/>
          <w:szCs w:val="18"/>
        </w:rPr>
        <w:t xml:space="preserve">Main Report.   </w:t>
      </w:r>
      <w:r w:rsidRPr="008A2CCC">
        <w:rPr>
          <w:b/>
          <w:bCs/>
          <w:sz w:val="18"/>
          <w:szCs w:val="18"/>
        </w:rPr>
        <w:t>Ramallah</w:t>
      </w:r>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437CD3" w:rsidRDefault="00437CD3" w:rsidP="00437CD3">
      <w:pPr>
        <w:bidi w:val="0"/>
        <w:jc w:val="lowKashida"/>
        <w:rPr>
          <w:sz w:val="20"/>
          <w:szCs w:val="20"/>
        </w:rPr>
      </w:pPr>
    </w:p>
    <w:p w:rsidR="00CC30EB" w:rsidRDefault="00031E25">
      <w:pPr>
        <w:bidi w:val="0"/>
        <w:jc w:val="lowKashida"/>
      </w:pPr>
      <w:r>
        <w:t xml:space="preserve">Tubas governorate has the highest percentage of unsafe deliveries with 2.0% of deliveries occurred under questionable conditions at home or on the way to hospital, followed by </w:t>
      </w:r>
      <w:proofErr w:type="spellStart"/>
      <w:r>
        <w:t>Qalqiliya</w:t>
      </w:r>
      <w:proofErr w:type="spellEnd"/>
      <w:r>
        <w:t xml:space="preserve"> governorate1.4%.</w:t>
      </w:r>
    </w:p>
    <w:p w:rsidR="000A1246" w:rsidRDefault="000A1246">
      <w:pPr>
        <w:bidi w:val="0"/>
        <w:ind w:right="7655"/>
        <w:jc w:val="lowKashida"/>
        <w:rPr>
          <w:rFonts w:ascii="Arial" w:hAnsi="Arial" w:cs="Arial"/>
          <w:sz w:val="22"/>
          <w:szCs w:val="22"/>
        </w:rPr>
      </w:pPr>
    </w:p>
    <w:p w:rsidR="000A1246" w:rsidRDefault="00FD0F58" w:rsidP="00B50FCC">
      <w:pPr>
        <w:bidi w:val="0"/>
        <w:jc w:val="lowKashida"/>
        <w:rPr>
          <w:b/>
          <w:bCs/>
          <w:color w:val="000000"/>
        </w:rPr>
      </w:pPr>
      <w:r>
        <w:rPr>
          <w:b/>
          <w:bCs/>
          <w:color w:val="000000"/>
        </w:rPr>
        <w:t xml:space="preserve">2.5 </w:t>
      </w:r>
      <w:r w:rsidR="000A1246">
        <w:rPr>
          <w:b/>
          <w:bCs/>
          <w:color w:val="000000"/>
        </w:rPr>
        <w:t xml:space="preserve">Breast </w:t>
      </w:r>
      <w:r w:rsidR="00B50FCC">
        <w:rPr>
          <w:b/>
          <w:bCs/>
          <w:color w:val="000000"/>
        </w:rPr>
        <w:t>F</w:t>
      </w:r>
      <w:r w:rsidR="000A1246">
        <w:rPr>
          <w:b/>
          <w:bCs/>
          <w:color w:val="000000"/>
        </w:rPr>
        <w:t xml:space="preserve">eeding </w:t>
      </w:r>
      <w:r w:rsidR="00B50FCC">
        <w:rPr>
          <w:b/>
          <w:bCs/>
          <w:color w:val="000000"/>
        </w:rPr>
        <w:t>T</w:t>
      </w:r>
      <w:r w:rsidR="000A1246">
        <w:rPr>
          <w:b/>
          <w:bCs/>
          <w:color w:val="000000"/>
        </w:rPr>
        <w:t>rends</w:t>
      </w:r>
    </w:p>
    <w:p w:rsidR="000A1246" w:rsidRDefault="000A1246" w:rsidP="000A1246">
      <w:pPr>
        <w:bidi w:val="0"/>
        <w:ind w:right="7655"/>
        <w:jc w:val="lowKashida"/>
        <w:rPr>
          <w:rFonts w:ascii="Arial" w:hAnsi="Arial" w:cs="Arial"/>
          <w:sz w:val="22"/>
          <w:szCs w:val="22"/>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0A1246" w:rsidTr="000A1246">
        <w:trPr>
          <w:trHeight w:val="1245"/>
        </w:trPr>
        <w:tc>
          <w:tcPr>
            <w:tcW w:w="9090" w:type="dxa"/>
          </w:tcPr>
          <w:p w:rsidR="000A1246" w:rsidRDefault="000A1246" w:rsidP="000A1246">
            <w:pPr>
              <w:bidi w:val="0"/>
              <w:jc w:val="lowKashida"/>
            </w:pPr>
            <w:r>
              <w:t xml:space="preserve">To ensure that all segments of society, in particular parents and children, are informed, have access to education and are supported in the use of basic knowledge of child health and nutrition, the advantages of breastfeeding, hygiene and environmental sanitation and the prevention of accidents.                                              </w:t>
            </w:r>
            <w:r>
              <w:rPr>
                <w:rFonts w:cs="Simplified Arabic"/>
                <w:b/>
                <w:bCs/>
              </w:rPr>
              <w:t>Child Rights  Convention (24-2-h)</w:t>
            </w:r>
          </w:p>
        </w:tc>
      </w:tr>
    </w:tbl>
    <w:p w:rsidR="001876E6" w:rsidRDefault="001876E6" w:rsidP="00125766">
      <w:pPr>
        <w:bidi w:val="0"/>
        <w:jc w:val="center"/>
        <w:rPr>
          <w:b/>
          <w:bCs/>
        </w:rPr>
      </w:pPr>
    </w:p>
    <w:p w:rsidR="00BA7301" w:rsidRPr="00BA7301" w:rsidRDefault="00BA7301" w:rsidP="00695A81">
      <w:pPr>
        <w:jc w:val="right"/>
        <w:rPr>
          <w:rFonts w:cs="Simplified Arabic"/>
          <w:b/>
          <w:bCs/>
          <w:rtl/>
        </w:rPr>
      </w:pPr>
      <w:r w:rsidRPr="00BA7301">
        <w:rPr>
          <w:rFonts w:cs="Simplified Arabic"/>
          <w:b/>
          <w:bCs/>
        </w:rPr>
        <w:t>Prevalence of breastfeeding among children</w:t>
      </w:r>
    </w:p>
    <w:p w:rsidR="00BA7301" w:rsidRDefault="00BA7301" w:rsidP="00B230D6">
      <w:pPr>
        <w:bidi w:val="0"/>
        <w:jc w:val="both"/>
        <w:rPr>
          <w:rFonts w:cs="Simplified Arabic"/>
        </w:rPr>
      </w:pPr>
      <w:r w:rsidRPr="00D44F45">
        <w:rPr>
          <w:rFonts w:cs="Simplified Arabic"/>
        </w:rPr>
        <w:t xml:space="preserve">96.3% of children </w:t>
      </w:r>
      <w:r>
        <w:rPr>
          <w:rFonts w:cs="Simplified Arabic"/>
        </w:rPr>
        <w:t>were breastfed</w:t>
      </w:r>
      <w:r w:rsidR="00E60083" w:rsidRPr="00E60083">
        <w:rPr>
          <w:lang w:eastAsia="en-US"/>
        </w:rPr>
        <w:t xml:space="preserve"> </w:t>
      </w:r>
      <w:r w:rsidR="00E60083">
        <w:rPr>
          <w:lang w:eastAsia="en-US"/>
        </w:rPr>
        <w:t>in 2010</w:t>
      </w:r>
      <w:r>
        <w:rPr>
          <w:rFonts w:cs="Simplified Arabic"/>
        </w:rPr>
        <w:t>;</w:t>
      </w:r>
      <w:r w:rsidR="00C84474">
        <w:rPr>
          <w:rFonts w:cs="Simplified Arabic"/>
        </w:rPr>
        <w:t xml:space="preserve"> </w:t>
      </w:r>
      <w:r>
        <w:rPr>
          <w:rFonts w:cs="Simplified Arabic"/>
        </w:rPr>
        <w:t>9</w:t>
      </w:r>
      <w:r w:rsidR="004C1C05">
        <w:rPr>
          <w:rFonts w:cs="Simplified Arabic"/>
        </w:rPr>
        <w:t>6</w:t>
      </w:r>
      <w:r>
        <w:rPr>
          <w:rFonts w:cs="Simplified Arabic"/>
        </w:rPr>
        <w:t xml:space="preserve">.3% in West Bank and 96.2% in </w:t>
      </w:r>
      <w:r w:rsidRPr="00D44F45">
        <w:rPr>
          <w:rFonts w:cs="Simplified Arabic"/>
        </w:rPr>
        <w:t>Gaza Strip</w:t>
      </w:r>
      <w:r>
        <w:rPr>
          <w:rFonts w:cs="Simplified Arabic"/>
        </w:rPr>
        <w:t>.</w:t>
      </w:r>
      <w:r w:rsidRPr="00D44F45">
        <w:rPr>
          <w:rFonts w:cs="Simplified Arabic"/>
        </w:rPr>
        <w:t xml:space="preserve"> </w:t>
      </w:r>
      <w:r>
        <w:rPr>
          <w:rFonts w:cs="Simplified Arabic"/>
        </w:rPr>
        <w:t>And</w:t>
      </w:r>
      <w:r w:rsidRPr="00D44F45">
        <w:rPr>
          <w:rFonts w:cs="Simplified Arabic"/>
        </w:rPr>
        <w:t xml:space="preserve"> </w:t>
      </w:r>
      <w:r>
        <w:rPr>
          <w:rFonts w:cs="Simplified Arabic"/>
        </w:rPr>
        <w:t>26.5% of children at</w:t>
      </w:r>
      <w:r w:rsidRPr="00D44F45">
        <w:rPr>
          <w:rFonts w:cs="Simplified Arabic"/>
        </w:rPr>
        <w:t xml:space="preserve"> the age group </w:t>
      </w:r>
      <w:r>
        <w:rPr>
          <w:rFonts w:cs="Simplified Arabic"/>
        </w:rPr>
        <w:t xml:space="preserve">of </w:t>
      </w:r>
      <w:r w:rsidRPr="00D44F45">
        <w:rPr>
          <w:rFonts w:cs="Simplified Arabic"/>
        </w:rPr>
        <w:t xml:space="preserve">(0-5) months were </w:t>
      </w:r>
      <w:r>
        <w:rPr>
          <w:rFonts w:cs="Simplified Arabic"/>
        </w:rPr>
        <w:t>exclusively breastfed; 27.4% in</w:t>
      </w:r>
      <w:r w:rsidRPr="00D44F45">
        <w:rPr>
          <w:rFonts w:cs="Simplified Arabic"/>
        </w:rPr>
        <w:t xml:space="preserve"> </w:t>
      </w:r>
      <w:r w:rsidR="00E01D2D">
        <w:rPr>
          <w:rFonts w:cs="Simplified Arabic"/>
        </w:rPr>
        <w:t xml:space="preserve">the </w:t>
      </w:r>
      <w:r w:rsidRPr="00D44F45">
        <w:rPr>
          <w:rFonts w:cs="Simplified Arabic"/>
        </w:rPr>
        <w:t xml:space="preserve">West Bank and 25.3% in Gaza Strip. </w:t>
      </w:r>
      <w:r>
        <w:rPr>
          <w:rFonts w:cs="Simplified Arabic"/>
        </w:rPr>
        <w:t xml:space="preserve"> </w:t>
      </w:r>
    </w:p>
    <w:p w:rsidR="00BA7301" w:rsidRDefault="00BA7301" w:rsidP="00B230D6">
      <w:pPr>
        <w:bidi w:val="0"/>
        <w:jc w:val="both"/>
        <w:rPr>
          <w:rFonts w:cs="Simplified Arabic"/>
        </w:rPr>
      </w:pPr>
      <w:r>
        <w:rPr>
          <w:rFonts w:cs="Simplified Arabic"/>
        </w:rPr>
        <w:br/>
        <w:t xml:space="preserve">One should note that  the average </w:t>
      </w:r>
      <w:r w:rsidRPr="00D44F45">
        <w:rPr>
          <w:rFonts w:cs="Simplified Arabic"/>
        </w:rPr>
        <w:t xml:space="preserve">of breastfeeding in the Palestinian </w:t>
      </w:r>
      <w:r w:rsidR="00B230D6">
        <w:rPr>
          <w:rFonts w:cs="Simplified Arabic"/>
        </w:rPr>
        <w:t>t</w:t>
      </w:r>
      <w:r w:rsidR="00B230D6" w:rsidRPr="00D44F45">
        <w:rPr>
          <w:rFonts w:cs="Simplified Arabic"/>
        </w:rPr>
        <w:t>erritor</w:t>
      </w:r>
      <w:r w:rsidR="00B230D6">
        <w:rPr>
          <w:rFonts w:cs="Simplified Arabic"/>
        </w:rPr>
        <w:t xml:space="preserve">y </w:t>
      </w:r>
      <w:r>
        <w:rPr>
          <w:rFonts w:cs="Simplified Arabic"/>
        </w:rPr>
        <w:t>is good, where the average of  continuation in</w:t>
      </w:r>
      <w:r w:rsidRPr="00D44F45">
        <w:rPr>
          <w:rFonts w:cs="Simplified Arabic"/>
        </w:rPr>
        <w:t xml:space="preserve"> breastfeeding reached 13.0 months</w:t>
      </w:r>
      <w:r w:rsidRPr="001C0EE9">
        <w:rPr>
          <w:rFonts w:cs="Simplified Arabic"/>
        </w:rPr>
        <w:t xml:space="preserve"> </w:t>
      </w:r>
      <w:r w:rsidRPr="00D44F45">
        <w:rPr>
          <w:rFonts w:cs="Simplified Arabic"/>
        </w:rPr>
        <w:t xml:space="preserve">in 2010, and 62.8% of the children </w:t>
      </w:r>
      <w:r>
        <w:rPr>
          <w:rFonts w:cs="Simplified Arabic"/>
        </w:rPr>
        <w:t>had begun</w:t>
      </w:r>
      <w:r w:rsidRPr="00D44F45">
        <w:rPr>
          <w:rFonts w:cs="Simplified Arabic"/>
        </w:rPr>
        <w:t xml:space="preserve"> </w:t>
      </w:r>
      <w:r>
        <w:rPr>
          <w:rFonts w:cs="Simplified Arabic"/>
        </w:rPr>
        <w:t xml:space="preserve"> their </w:t>
      </w:r>
      <w:r w:rsidRPr="00D44F45">
        <w:rPr>
          <w:rFonts w:cs="Simplified Arabic"/>
        </w:rPr>
        <w:t>breastfeeding within the first hour of birth</w:t>
      </w:r>
      <w:r>
        <w:rPr>
          <w:rFonts w:cs="Simplified Arabic"/>
        </w:rPr>
        <w:t>.</w:t>
      </w:r>
    </w:p>
    <w:p w:rsidR="00695A81" w:rsidRDefault="00BA7301" w:rsidP="00B50FCC">
      <w:pPr>
        <w:jc w:val="right"/>
        <w:rPr>
          <w:rFonts w:cs="Simplified Arabic"/>
          <w:b/>
          <w:bCs/>
          <w:rtl/>
        </w:rPr>
      </w:pPr>
      <w:r w:rsidRPr="00D44F45">
        <w:rPr>
          <w:rFonts w:cs="Simplified Arabic"/>
        </w:rPr>
        <w:br/>
      </w:r>
      <w:r w:rsidR="00695A81">
        <w:rPr>
          <w:rFonts w:cs="Simplified Arabic"/>
          <w:b/>
          <w:bCs/>
        </w:rPr>
        <w:t>2</w:t>
      </w:r>
      <w:r w:rsidR="00695A81" w:rsidRPr="00971889">
        <w:rPr>
          <w:rFonts w:cs="Simplified Arabic"/>
          <w:b/>
          <w:bCs/>
        </w:rPr>
        <w:t>.</w:t>
      </w:r>
      <w:r w:rsidR="00695A81">
        <w:rPr>
          <w:rFonts w:cs="Simplified Arabic"/>
          <w:b/>
          <w:bCs/>
        </w:rPr>
        <w:t>6</w:t>
      </w:r>
      <w:r w:rsidR="00695A81" w:rsidRPr="00971889">
        <w:rPr>
          <w:rFonts w:cs="Simplified Arabic"/>
          <w:b/>
          <w:bCs/>
        </w:rPr>
        <w:t xml:space="preserve"> Child’s  </w:t>
      </w:r>
      <w:r w:rsidR="00B50FCC">
        <w:rPr>
          <w:rFonts w:cs="Simplified Arabic"/>
          <w:b/>
          <w:bCs/>
        </w:rPr>
        <w:t>W</w:t>
      </w:r>
      <w:r w:rsidR="00695A81" w:rsidRPr="00971889">
        <w:rPr>
          <w:rFonts w:cs="Simplified Arabic"/>
          <w:b/>
          <w:bCs/>
        </w:rPr>
        <w:t xml:space="preserve">eight at </w:t>
      </w:r>
      <w:r w:rsidR="00B50FCC">
        <w:rPr>
          <w:rFonts w:cs="Simplified Arabic"/>
          <w:b/>
          <w:bCs/>
        </w:rPr>
        <w:t>B</w:t>
      </w:r>
      <w:r w:rsidR="00695A81" w:rsidRPr="00971889">
        <w:rPr>
          <w:rFonts w:cs="Simplified Arabic"/>
          <w:b/>
          <w:bCs/>
        </w:rPr>
        <w:t>irth</w:t>
      </w:r>
    </w:p>
    <w:p w:rsidR="00695A81" w:rsidRDefault="00695A81" w:rsidP="00695A81">
      <w:pPr>
        <w:bidi w:val="0"/>
        <w:jc w:val="both"/>
        <w:rPr>
          <w:rFonts w:cs="Simplified Arabic"/>
        </w:rPr>
      </w:pPr>
      <w:r w:rsidRPr="00D44F45">
        <w:rPr>
          <w:rFonts w:cs="Simplified Arabic"/>
        </w:rPr>
        <w:t>8.8% of the children</w:t>
      </w:r>
      <w:r>
        <w:rPr>
          <w:rFonts w:cs="Simplified Arabic"/>
        </w:rPr>
        <w:t xml:space="preserve"> were weighing  </w:t>
      </w:r>
      <w:r w:rsidRPr="00D44F45">
        <w:rPr>
          <w:rFonts w:cs="Simplified Arabic"/>
        </w:rPr>
        <w:t xml:space="preserve">less than 2.5 kg </w:t>
      </w:r>
      <w:r>
        <w:rPr>
          <w:rFonts w:cs="Simplified Arabic"/>
        </w:rPr>
        <w:t xml:space="preserve"> </w:t>
      </w:r>
      <w:r w:rsidRPr="00D44F45">
        <w:rPr>
          <w:rFonts w:cs="Simplified Arabic"/>
        </w:rPr>
        <w:t>at birth</w:t>
      </w:r>
      <w:r>
        <w:rPr>
          <w:rFonts w:cs="Simplified Arabic"/>
        </w:rPr>
        <w:t>; 9.4% in</w:t>
      </w:r>
      <w:r w:rsidR="00E01D2D">
        <w:rPr>
          <w:rFonts w:cs="Simplified Arabic"/>
        </w:rPr>
        <w:t xml:space="preserve"> the </w:t>
      </w:r>
      <w:r>
        <w:rPr>
          <w:rFonts w:cs="Simplified Arabic"/>
        </w:rPr>
        <w:t xml:space="preserve">West Bank, and 8.1% in </w:t>
      </w:r>
      <w:r w:rsidRPr="00D44F45">
        <w:rPr>
          <w:rFonts w:cs="Simplified Arabic"/>
        </w:rPr>
        <w:t xml:space="preserve"> Gaza Strip</w:t>
      </w:r>
      <w:r>
        <w:rPr>
          <w:rFonts w:cs="Simplified Arabic"/>
        </w:rPr>
        <w:t>.  While 2.8% of them,</w:t>
      </w:r>
      <w:r w:rsidRPr="00D44F45">
        <w:rPr>
          <w:rFonts w:cs="Simplified Arabic"/>
        </w:rPr>
        <w:t xml:space="preserve"> their weight at birth reached more than 4 kg</w:t>
      </w:r>
      <w:r>
        <w:rPr>
          <w:rFonts w:cs="Simplified Arabic"/>
        </w:rPr>
        <w:t>;</w:t>
      </w:r>
      <w:r w:rsidRPr="00D44F45">
        <w:rPr>
          <w:rFonts w:cs="Simplified Arabic"/>
        </w:rPr>
        <w:t xml:space="preserve"> 2.6% i</w:t>
      </w:r>
      <w:r>
        <w:rPr>
          <w:rFonts w:cs="Simplified Arabic"/>
        </w:rPr>
        <w:t xml:space="preserve">n the West Bank, and 3.1% in </w:t>
      </w:r>
      <w:r w:rsidRPr="00D44F45">
        <w:rPr>
          <w:rFonts w:cs="Simplified Arabic"/>
        </w:rPr>
        <w:t xml:space="preserve"> Gaza Strip</w:t>
      </w:r>
      <w:r w:rsidR="00E60083" w:rsidRPr="00E60083">
        <w:rPr>
          <w:lang w:eastAsia="en-US"/>
        </w:rPr>
        <w:t xml:space="preserve"> </w:t>
      </w:r>
      <w:r w:rsidR="00E60083">
        <w:rPr>
          <w:lang w:eastAsia="en-US"/>
        </w:rPr>
        <w:t>in 2010</w:t>
      </w:r>
      <w:r w:rsidR="00E60083">
        <w:rPr>
          <w:rFonts w:cs="Simplified Arabic"/>
        </w:rPr>
        <w:t xml:space="preserve"> </w:t>
      </w:r>
      <w:r w:rsidRPr="00D44F45">
        <w:rPr>
          <w:rFonts w:cs="Simplified Arabic"/>
        </w:rPr>
        <w:t>.</w:t>
      </w:r>
    </w:p>
    <w:p w:rsidR="00695A81" w:rsidRDefault="00695A81" w:rsidP="00695A81">
      <w:pPr>
        <w:bidi w:val="0"/>
        <w:jc w:val="both"/>
        <w:rPr>
          <w:rFonts w:cs="Simplified Arabic"/>
        </w:rPr>
      </w:pPr>
    </w:p>
    <w:p w:rsidR="00695A81" w:rsidRDefault="00695A81" w:rsidP="00E01D2D">
      <w:pPr>
        <w:jc w:val="right"/>
        <w:rPr>
          <w:rFonts w:cs="Simplified Arabic"/>
          <w:b/>
          <w:bCs/>
        </w:rPr>
      </w:pPr>
      <w:r w:rsidRPr="00971889">
        <w:rPr>
          <w:rFonts w:cs="Simplified Arabic"/>
          <w:b/>
          <w:bCs/>
        </w:rPr>
        <w:t xml:space="preserve">7.2 </w:t>
      </w:r>
      <w:r w:rsidR="00E01D2D">
        <w:rPr>
          <w:rFonts w:cs="Simplified Arabic"/>
          <w:b/>
          <w:bCs/>
        </w:rPr>
        <w:t>Prevalence</w:t>
      </w:r>
      <w:r w:rsidRPr="00971889">
        <w:rPr>
          <w:rFonts w:cs="Simplified Arabic"/>
          <w:b/>
          <w:bCs/>
        </w:rPr>
        <w:t xml:space="preserve"> of </w:t>
      </w:r>
      <w:r w:rsidR="00B50FCC">
        <w:rPr>
          <w:rFonts w:cs="Simplified Arabic"/>
          <w:b/>
          <w:bCs/>
        </w:rPr>
        <w:t>D</w:t>
      </w:r>
      <w:r w:rsidRPr="00971889">
        <w:rPr>
          <w:rFonts w:cs="Simplified Arabic"/>
          <w:b/>
          <w:bCs/>
        </w:rPr>
        <w:t xml:space="preserve">iseases </w:t>
      </w:r>
      <w:r w:rsidR="00B50FCC">
        <w:rPr>
          <w:rFonts w:cs="Simplified Arabic"/>
          <w:b/>
          <w:bCs/>
        </w:rPr>
        <w:t>A</w:t>
      </w:r>
      <w:r w:rsidRPr="00971889">
        <w:rPr>
          <w:rFonts w:cs="Simplified Arabic"/>
          <w:b/>
          <w:bCs/>
        </w:rPr>
        <w:t xml:space="preserve">mong </w:t>
      </w:r>
      <w:r w:rsidR="00B50FCC">
        <w:rPr>
          <w:rFonts w:cs="Simplified Arabic"/>
          <w:b/>
          <w:bCs/>
        </w:rPr>
        <w:t>C</w:t>
      </w:r>
      <w:r w:rsidRPr="00971889">
        <w:rPr>
          <w:rFonts w:cs="Simplified Arabic"/>
          <w:b/>
          <w:bCs/>
        </w:rPr>
        <w:t>hildren</w:t>
      </w:r>
    </w:p>
    <w:p w:rsidR="00695A81" w:rsidRDefault="00695A81" w:rsidP="00E01D2D">
      <w:pPr>
        <w:bidi w:val="0"/>
        <w:jc w:val="both"/>
        <w:rPr>
          <w:rFonts w:cs="Simplified Arabic"/>
        </w:rPr>
      </w:pPr>
      <w:r w:rsidRPr="00B33ACD">
        <w:rPr>
          <w:rFonts w:cs="Simplified Arabic"/>
        </w:rPr>
        <w:t xml:space="preserve">The average of incidence of infectious diseases among children is considered a diagnosis  of and reflection to  health current status and an indication of the safety and purity of the environment. As well as a measuring tool  of social progress and the social status of households and  communities . </w:t>
      </w:r>
      <w:r w:rsidR="00E01D2D">
        <w:rPr>
          <w:rFonts w:cs="Simplified Arabic"/>
        </w:rPr>
        <w:t>Prevalence</w:t>
      </w:r>
      <w:r w:rsidRPr="00B33ACD">
        <w:rPr>
          <w:rFonts w:cs="Simplified Arabic"/>
        </w:rPr>
        <w:t xml:space="preserve"> of diseases is associated with  different agents  and factors of the pollution of the environment  and quality of child food  and how it is prepared. The frequent  incidence of disease  had a negative impact on the child, not only in increasing the risk of death, but also through its impact on public health of the child and possibly exposed to malnutrition and weak immune system .The following are  indicators of some </w:t>
      </w:r>
    </w:p>
    <w:p w:rsidR="00695A81" w:rsidRDefault="00695A81" w:rsidP="00695A81">
      <w:pPr>
        <w:bidi w:val="0"/>
        <w:rPr>
          <w:rFonts w:cs="Simplified Arabic"/>
        </w:rPr>
      </w:pPr>
      <w:r w:rsidRPr="00B33ACD">
        <w:rPr>
          <w:rFonts w:cs="Simplified Arabic"/>
        </w:rPr>
        <w:t>childhood diseases:</w:t>
      </w:r>
      <w:r w:rsidRPr="00B33ACD">
        <w:rPr>
          <w:rFonts w:cs="Simplified Arabic"/>
        </w:rPr>
        <w:br/>
      </w:r>
    </w:p>
    <w:p w:rsidR="00695A81" w:rsidRDefault="00695A81" w:rsidP="00695A81">
      <w:pPr>
        <w:bidi w:val="0"/>
        <w:rPr>
          <w:rFonts w:cs="Simplified Arabic"/>
        </w:rPr>
      </w:pPr>
    </w:p>
    <w:p w:rsidR="00695A81" w:rsidRDefault="00695A81" w:rsidP="00695A81">
      <w:pPr>
        <w:bidi w:val="0"/>
        <w:rPr>
          <w:rFonts w:cs="Simplified Arabic"/>
        </w:rPr>
      </w:pPr>
    </w:p>
    <w:p w:rsidR="00695A81" w:rsidRDefault="00695A81" w:rsidP="00695A81">
      <w:pPr>
        <w:bidi w:val="0"/>
        <w:rPr>
          <w:rFonts w:cs="Simplified Arabic"/>
        </w:rPr>
      </w:pPr>
    </w:p>
    <w:p w:rsidR="00695A81" w:rsidRDefault="00695A81" w:rsidP="00695A81">
      <w:pPr>
        <w:bidi w:val="0"/>
        <w:rPr>
          <w:rFonts w:cs="Simplified Arabic"/>
        </w:rPr>
      </w:pPr>
    </w:p>
    <w:p w:rsidR="00695A81" w:rsidRDefault="00695A81" w:rsidP="00695A81">
      <w:pPr>
        <w:bidi w:val="0"/>
        <w:rPr>
          <w:rFonts w:cs="Simplified Arabic"/>
        </w:rPr>
      </w:pPr>
    </w:p>
    <w:p w:rsidR="00695A81" w:rsidRDefault="00695A81" w:rsidP="00695A81">
      <w:pPr>
        <w:bidi w:val="0"/>
        <w:rPr>
          <w:rFonts w:cs="Simplified Arabic"/>
        </w:rPr>
      </w:pPr>
    </w:p>
    <w:p w:rsidR="00695A81" w:rsidRDefault="00695A81" w:rsidP="00695A81">
      <w:pPr>
        <w:bidi w:val="0"/>
        <w:rPr>
          <w:rFonts w:cs="Simplified Arabic"/>
        </w:rPr>
      </w:pPr>
    </w:p>
    <w:p w:rsidR="00695A81" w:rsidRDefault="00695A81" w:rsidP="00695A81">
      <w:pPr>
        <w:bidi w:val="0"/>
        <w:rPr>
          <w:rFonts w:cs="Simplified Arabic"/>
        </w:rPr>
      </w:pPr>
    </w:p>
    <w:p w:rsidR="00695A81" w:rsidRDefault="00695A81" w:rsidP="00695A81">
      <w:pPr>
        <w:bidi w:val="0"/>
        <w:rPr>
          <w:rFonts w:cs="Simplified Arabic"/>
        </w:rPr>
      </w:pPr>
    </w:p>
    <w:p w:rsidR="00695A81" w:rsidRDefault="00695A81" w:rsidP="00695A81">
      <w:pPr>
        <w:bidi w:val="0"/>
        <w:rPr>
          <w:rFonts w:cs="Simplified Arabic"/>
        </w:rPr>
      </w:pPr>
    </w:p>
    <w:p w:rsidR="00695A81" w:rsidRDefault="00695A81" w:rsidP="00695A81">
      <w:pPr>
        <w:bidi w:val="0"/>
        <w:rPr>
          <w:rFonts w:cs="Simplified Arabic"/>
        </w:rPr>
      </w:pPr>
    </w:p>
    <w:p w:rsidR="00695A81" w:rsidRDefault="00695A81" w:rsidP="00695A81">
      <w:pPr>
        <w:bidi w:val="0"/>
        <w:rPr>
          <w:rFonts w:cs="Simplified Arabic"/>
        </w:rPr>
      </w:pPr>
    </w:p>
    <w:p w:rsidR="002D5BCF" w:rsidRPr="002D5BCF" w:rsidRDefault="00695A81" w:rsidP="00487DBD">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sidRPr="00D44F45">
        <w:rPr>
          <w:rFonts w:cs="Simplified Arabic"/>
        </w:rPr>
        <w:lastRenderedPageBreak/>
        <w:br/>
      </w:r>
      <w:r w:rsidR="008E15B5" w:rsidRPr="002D5BCF">
        <w:rPr>
          <w:rFonts w:eastAsia="Times New Roman"/>
        </w:rPr>
        <w:t>Figure (2-6):</w:t>
      </w:r>
      <w:r w:rsidR="002D5BCF" w:rsidRPr="002D5BCF">
        <w:rPr>
          <w:rFonts w:eastAsia="Times New Roman"/>
        </w:rPr>
        <w:t xml:space="preserve"> Percentage of children under five who had diarrhea by</w:t>
      </w:r>
      <w:r w:rsidR="002D5BCF" w:rsidRPr="002D5BCF">
        <w:rPr>
          <w:rFonts w:eastAsia="Times New Roman"/>
        </w:rPr>
        <w:br/>
        <w:t>region</w:t>
      </w:r>
      <w:r w:rsidR="00487DBD">
        <w:rPr>
          <w:rFonts w:eastAsia="Times New Roman"/>
        </w:rPr>
        <w:t xml:space="preserve"> in</w:t>
      </w:r>
      <w:r w:rsidR="00487DBD" w:rsidRPr="002D5BCF">
        <w:rPr>
          <w:rFonts w:eastAsia="Times New Roman"/>
        </w:rPr>
        <w:t xml:space="preserve"> </w:t>
      </w:r>
      <w:r w:rsidR="002D5BCF" w:rsidRPr="002D5BCF">
        <w:rPr>
          <w:rFonts w:eastAsia="Times New Roman"/>
        </w:rPr>
        <w:t>2006</w:t>
      </w:r>
      <w:r w:rsidR="00487DBD">
        <w:rPr>
          <w:rFonts w:eastAsia="Times New Roman"/>
        </w:rPr>
        <w:t xml:space="preserve"> and</w:t>
      </w:r>
      <w:r w:rsidR="002D5BCF">
        <w:rPr>
          <w:rFonts w:eastAsia="Times New Roman"/>
        </w:rPr>
        <w:t xml:space="preserve"> </w:t>
      </w:r>
      <w:r w:rsidR="002D5BCF" w:rsidRPr="002D5BCF">
        <w:rPr>
          <w:rFonts w:eastAsia="Times New Roman"/>
        </w:rPr>
        <w:t>2010</w:t>
      </w:r>
    </w:p>
    <w:p w:rsidR="001876E6" w:rsidRDefault="001876E6" w:rsidP="001876E6">
      <w:pPr>
        <w:bidi w:val="0"/>
        <w:jc w:val="center"/>
        <w:rPr>
          <w:b/>
          <w:bCs/>
        </w:rPr>
      </w:pPr>
      <w:r w:rsidRPr="001876E6">
        <w:rPr>
          <w:b/>
          <w:bCs/>
          <w:noProof/>
          <w:lang w:eastAsia="en-US"/>
        </w:rPr>
        <w:drawing>
          <wp:inline distT="0" distB="0" distL="0" distR="0">
            <wp:extent cx="5648325" cy="3314700"/>
            <wp:effectExtent l="57150" t="0" r="66675" b="95250"/>
            <wp:docPr id="1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C4A6E" w:rsidRDefault="001876E6" w:rsidP="001876E6">
      <w:pPr>
        <w:bidi w:val="0"/>
        <w:ind w:left="142"/>
        <w:jc w:val="lowKashida"/>
        <w:rPr>
          <w:b/>
          <w:bCs/>
          <w:sz w:val="18"/>
          <w:szCs w:val="18"/>
        </w:rPr>
      </w:pPr>
      <w:r>
        <w:rPr>
          <w:b/>
          <w:bCs/>
          <w:sz w:val="18"/>
          <w:szCs w:val="18"/>
        </w:rPr>
        <w:t xml:space="preserve">Source: </w:t>
      </w:r>
      <w:r w:rsidR="00FC4A6E" w:rsidRPr="00FC4A6E">
        <w:rPr>
          <w:b/>
          <w:bCs/>
          <w:sz w:val="18"/>
          <w:szCs w:val="18"/>
        </w:rPr>
        <w:t xml:space="preserve">Palestinian Central Bureau of Statistics, 2007. </w:t>
      </w:r>
      <w:r w:rsidR="00FC4A6E" w:rsidRPr="00FC4A6E">
        <w:rPr>
          <w:sz w:val="18"/>
          <w:szCs w:val="18"/>
        </w:rPr>
        <w:t>Palestinian Family Health Survey, 2006. Final Report</w:t>
      </w:r>
      <w:r w:rsidR="00FC4A6E" w:rsidRPr="00FC4A6E">
        <w:rPr>
          <w:b/>
          <w:bCs/>
          <w:sz w:val="18"/>
          <w:szCs w:val="18"/>
        </w:rPr>
        <w:t xml:space="preserve">. </w:t>
      </w:r>
      <w:r w:rsidR="002D5BCF">
        <w:rPr>
          <w:b/>
          <w:bCs/>
          <w:sz w:val="18"/>
          <w:szCs w:val="18"/>
        </w:rPr>
        <w:t xml:space="preserve"> </w:t>
      </w:r>
      <w:r w:rsidR="00FC4A6E" w:rsidRPr="00FC4A6E">
        <w:rPr>
          <w:b/>
          <w:bCs/>
          <w:sz w:val="18"/>
          <w:szCs w:val="18"/>
        </w:rPr>
        <w:t>Ramallah – Palestine</w:t>
      </w:r>
      <w:r w:rsidR="00FC4A6E" w:rsidRPr="008A2CCC">
        <w:rPr>
          <w:b/>
          <w:bCs/>
          <w:sz w:val="18"/>
          <w:szCs w:val="18"/>
        </w:rPr>
        <w:t xml:space="preserve"> </w:t>
      </w:r>
    </w:p>
    <w:p w:rsidR="001876E6" w:rsidRDefault="001876E6" w:rsidP="00FC4A6E">
      <w:pPr>
        <w:bidi w:val="0"/>
        <w:ind w:left="142"/>
        <w:jc w:val="lowKashida"/>
        <w:rPr>
          <w:sz w:val="20"/>
          <w:szCs w:val="20"/>
        </w:rPr>
      </w:pPr>
      <w:r w:rsidRPr="008A2CCC">
        <w:rPr>
          <w:b/>
          <w:bCs/>
          <w:sz w:val="18"/>
          <w:szCs w:val="18"/>
        </w:rPr>
        <w:t>Palestinian Central Bureau of Statistics, 2011</w:t>
      </w:r>
      <w:r w:rsidRPr="008A2CCC">
        <w:rPr>
          <w:sz w:val="18"/>
          <w:szCs w:val="18"/>
        </w:rPr>
        <w:t>.  Palestinian Family Survey 2010</w:t>
      </w:r>
      <w:r>
        <w:rPr>
          <w:b/>
          <w:bCs/>
          <w:sz w:val="18"/>
          <w:szCs w:val="18"/>
        </w:rPr>
        <w:t>,</w:t>
      </w:r>
      <w:r w:rsidRPr="008A2CCC">
        <w:rPr>
          <w:b/>
          <w:bCs/>
          <w:sz w:val="18"/>
          <w:szCs w:val="18"/>
        </w:rPr>
        <w:t xml:space="preserve">  </w:t>
      </w:r>
      <w:r w:rsidRPr="008A2CCC">
        <w:rPr>
          <w:i/>
          <w:iCs/>
          <w:sz w:val="18"/>
          <w:szCs w:val="18"/>
        </w:rPr>
        <w:t xml:space="preserve">Main Report.   </w:t>
      </w:r>
      <w:r w:rsidRPr="008A2CCC">
        <w:rPr>
          <w:b/>
          <w:bCs/>
          <w:sz w:val="18"/>
          <w:szCs w:val="18"/>
        </w:rPr>
        <w:t>Ramallah</w:t>
      </w:r>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2D5BCF" w:rsidRDefault="002D5BCF" w:rsidP="002D5BCF">
      <w:pPr>
        <w:bidi w:val="0"/>
        <w:jc w:val="both"/>
        <w:rPr>
          <w:b/>
          <w:bCs/>
        </w:rPr>
      </w:pPr>
    </w:p>
    <w:p w:rsidR="00E01D2D" w:rsidRDefault="00695A81" w:rsidP="00E01D2D">
      <w:pPr>
        <w:bidi w:val="0"/>
        <w:jc w:val="both"/>
        <w:rPr>
          <w:rFonts w:cs="Simplified Arabic"/>
        </w:rPr>
      </w:pPr>
      <w:r w:rsidRPr="00F9635A">
        <w:rPr>
          <w:rFonts w:cs="Simplified Arabic"/>
          <w:b/>
          <w:bCs/>
        </w:rPr>
        <w:t>Diarrhea</w:t>
      </w:r>
      <w:r>
        <w:rPr>
          <w:rFonts w:cs="Simplified Arabic"/>
        </w:rPr>
        <w:br/>
        <w:t xml:space="preserve">It was clear that there was </w:t>
      </w:r>
      <w:r w:rsidRPr="00D44F45">
        <w:rPr>
          <w:rFonts w:cs="Simplified Arabic"/>
        </w:rPr>
        <w:t xml:space="preserve"> an increase "clearly have occurred in the p</w:t>
      </w:r>
      <w:r>
        <w:rPr>
          <w:rFonts w:cs="Simplified Arabic"/>
        </w:rPr>
        <w:t xml:space="preserve">ercentage </w:t>
      </w:r>
      <w:r w:rsidRPr="00D44F45">
        <w:rPr>
          <w:rFonts w:cs="Simplified Arabic"/>
        </w:rPr>
        <w:t xml:space="preserve">of children under five </w:t>
      </w:r>
      <w:r>
        <w:rPr>
          <w:rFonts w:cs="Simplified Arabic"/>
        </w:rPr>
        <w:t xml:space="preserve">years  of old </w:t>
      </w:r>
      <w:r w:rsidRPr="00D44F45">
        <w:rPr>
          <w:rFonts w:cs="Simplified Arabic"/>
        </w:rPr>
        <w:t xml:space="preserve">who had diarrhea </w:t>
      </w:r>
      <w:r>
        <w:rPr>
          <w:rFonts w:cs="Simplified Arabic"/>
        </w:rPr>
        <w:t xml:space="preserve">in  the period </w:t>
      </w:r>
      <w:r w:rsidRPr="00D44F45">
        <w:rPr>
          <w:rFonts w:cs="Simplified Arabic"/>
        </w:rPr>
        <w:t xml:space="preserve">between </w:t>
      </w:r>
      <w:r>
        <w:rPr>
          <w:rFonts w:cs="Simplified Arabic"/>
        </w:rPr>
        <w:t>2006 -</w:t>
      </w:r>
      <w:r w:rsidRPr="00D44F45">
        <w:rPr>
          <w:rFonts w:cs="Simplified Arabic"/>
        </w:rPr>
        <w:t xml:space="preserve"> 2010, while the </w:t>
      </w:r>
      <w:r>
        <w:rPr>
          <w:rFonts w:cs="Simplified Arabic"/>
        </w:rPr>
        <w:t xml:space="preserve">percentage was 11.7% in 2006 and increased to </w:t>
      </w:r>
      <w:r w:rsidRPr="00D44F45">
        <w:rPr>
          <w:rFonts w:cs="Simplified Arabic"/>
        </w:rPr>
        <w:t xml:space="preserve">12.8% in 2010. </w:t>
      </w:r>
      <w:r>
        <w:rPr>
          <w:rFonts w:cs="Simplified Arabic"/>
        </w:rPr>
        <w:t xml:space="preserve">At the </w:t>
      </w:r>
      <w:r w:rsidR="00E01D2D">
        <w:rPr>
          <w:rFonts w:cs="Simplified Arabic"/>
        </w:rPr>
        <w:t>region</w:t>
      </w:r>
      <w:r>
        <w:rPr>
          <w:rFonts w:cs="Simplified Arabic"/>
        </w:rPr>
        <w:t xml:space="preserve"> level</w:t>
      </w:r>
      <w:r w:rsidRPr="00D44F45">
        <w:rPr>
          <w:rFonts w:cs="Simplified Arabic"/>
        </w:rPr>
        <w:t>, the p</w:t>
      </w:r>
      <w:r>
        <w:rPr>
          <w:rFonts w:cs="Simplified Arabic"/>
        </w:rPr>
        <w:t xml:space="preserve">ercentage of children  </w:t>
      </w:r>
      <w:r w:rsidRPr="00D44F45">
        <w:rPr>
          <w:rFonts w:cs="Simplified Arabic"/>
        </w:rPr>
        <w:t xml:space="preserve">who had diarrhea </w:t>
      </w:r>
      <w:r>
        <w:rPr>
          <w:rFonts w:cs="Simplified Arabic"/>
        </w:rPr>
        <w:t>was 14.8 % in</w:t>
      </w:r>
      <w:r w:rsidR="00E01D2D">
        <w:rPr>
          <w:rFonts w:cs="Simplified Arabic"/>
        </w:rPr>
        <w:t xml:space="preserve"> the</w:t>
      </w:r>
      <w:r>
        <w:rPr>
          <w:rFonts w:cs="Simplified Arabic"/>
        </w:rPr>
        <w:t xml:space="preserve"> West Bank and 9.8% in </w:t>
      </w:r>
      <w:r w:rsidRPr="00D44F45">
        <w:rPr>
          <w:rFonts w:cs="Simplified Arabic"/>
        </w:rPr>
        <w:t xml:space="preserve"> Gaza Strip in 2010, while these percentages were 11.5% and 12.1% respectively in 2006. It is noted that children in the age group </w:t>
      </w:r>
      <w:r>
        <w:rPr>
          <w:rFonts w:cs="Simplified Arabic"/>
        </w:rPr>
        <w:t xml:space="preserve"> of </w:t>
      </w:r>
      <w:r w:rsidRPr="00D44F45">
        <w:rPr>
          <w:rFonts w:cs="Simplified Arabic"/>
        </w:rPr>
        <w:t xml:space="preserve">12-23 months </w:t>
      </w:r>
      <w:r>
        <w:rPr>
          <w:rFonts w:cs="Simplified Arabic"/>
        </w:rPr>
        <w:t xml:space="preserve">were </w:t>
      </w:r>
      <w:r w:rsidRPr="00D44F45">
        <w:rPr>
          <w:rFonts w:cs="Simplified Arabic"/>
        </w:rPr>
        <w:t>more susceptible to diarrhea than others</w:t>
      </w:r>
      <w:r>
        <w:rPr>
          <w:rFonts w:cs="Simplified Arabic"/>
        </w:rPr>
        <w:t xml:space="preserve"> as </w:t>
      </w:r>
      <w:r w:rsidRPr="00D44F45">
        <w:rPr>
          <w:rFonts w:cs="Simplified Arabic"/>
        </w:rPr>
        <w:t xml:space="preserve"> </w:t>
      </w:r>
      <w:r>
        <w:rPr>
          <w:rFonts w:cs="Simplified Arabic"/>
        </w:rPr>
        <w:t xml:space="preserve">it reached </w:t>
      </w:r>
      <w:r w:rsidRPr="00D44F45">
        <w:rPr>
          <w:rFonts w:cs="Simplified Arabic"/>
        </w:rPr>
        <w:t xml:space="preserve"> 21</w:t>
      </w:r>
      <w:r>
        <w:rPr>
          <w:rFonts w:cs="Simplified Arabic"/>
        </w:rPr>
        <w:t xml:space="preserve">.3 % and it </w:t>
      </w:r>
      <w:r w:rsidRPr="00D44F45">
        <w:rPr>
          <w:rFonts w:cs="Simplified Arabic"/>
        </w:rPr>
        <w:t>ma</w:t>
      </w:r>
      <w:r>
        <w:rPr>
          <w:rFonts w:cs="Simplified Arabic"/>
        </w:rPr>
        <w:t xml:space="preserve">y be attributed  to and due to the launching </w:t>
      </w:r>
      <w:r w:rsidRPr="00D44F45">
        <w:rPr>
          <w:rFonts w:cs="Simplified Arabic"/>
        </w:rPr>
        <w:t xml:space="preserve"> of </w:t>
      </w:r>
      <w:r>
        <w:rPr>
          <w:rFonts w:cs="Simplified Arabic"/>
        </w:rPr>
        <w:t xml:space="preserve">providing </w:t>
      </w:r>
    </w:p>
    <w:p w:rsidR="00E01D2D" w:rsidRPr="00E01D2D" w:rsidRDefault="00E01D2D" w:rsidP="00E01D2D">
      <w:pPr>
        <w:bidi w:val="0"/>
        <w:jc w:val="both"/>
        <w:rPr>
          <w:rFonts w:cs="Simplified Arabic"/>
          <w:sz w:val="2"/>
          <w:szCs w:val="2"/>
        </w:rPr>
      </w:pPr>
    </w:p>
    <w:p w:rsidR="008822F1" w:rsidRDefault="00695A81" w:rsidP="008822F1">
      <w:pPr>
        <w:bidi w:val="0"/>
        <w:rPr>
          <w:rFonts w:cs="Simplified Arabic"/>
        </w:rPr>
      </w:pPr>
      <w:r>
        <w:rPr>
          <w:rFonts w:cs="Simplified Arabic"/>
        </w:rPr>
        <w:t xml:space="preserve">children with  household </w:t>
      </w:r>
      <w:r w:rsidRPr="00D44F45">
        <w:rPr>
          <w:rFonts w:cs="Simplified Arabic"/>
        </w:rPr>
        <w:t>and processed foods at this age.</w:t>
      </w:r>
      <w:r w:rsidRPr="00D44F45">
        <w:rPr>
          <w:rFonts w:cs="Simplified Arabic"/>
        </w:rPr>
        <w:br/>
      </w:r>
    </w:p>
    <w:p w:rsidR="00E01D2D" w:rsidRDefault="00695A81" w:rsidP="008822F1">
      <w:pPr>
        <w:bidi w:val="0"/>
        <w:jc w:val="both"/>
        <w:rPr>
          <w:rFonts w:cs="Simplified Arabic"/>
        </w:rPr>
      </w:pPr>
      <w:r w:rsidRPr="00D44F45">
        <w:rPr>
          <w:rFonts w:cs="Simplified Arabic"/>
        </w:rPr>
        <w:t>With regard to treatment results</w:t>
      </w:r>
      <w:r>
        <w:rPr>
          <w:rFonts w:cs="Simplified Arabic"/>
        </w:rPr>
        <w:t xml:space="preserve">, results </w:t>
      </w:r>
      <w:r w:rsidRPr="00D44F45">
        <w:rPr>
          <w:rFonts w:cs="Simplified Arabic"/>
        </w:rPr>
        <w:t xml:space="preserve"> showed that 31.3% of the children who had diarrhea were treated with a rehydration solution (ORS) and 44.6% of children who had diarrhea received more quantities of </w:t>
      </w:r>
      <w:r>
        <w:rPr>
          <w:rFonts w:cs="Simplified Arabic"/>
        </w:rPr>
        <w:t xml:space="preserve"> fluids during diarrhea. It</w:t>
      </w:r>
      <w:r w:rsidRPr="00D44F45">
        <w:rPr>
          <w:rFonts w:cs="Simplified Arabic"/>
        </w:rPr>
        <w:t xml:space="preserve"> should be noted that the </w:t>
      </w:r>
      <w:r>
        <w:rPr>
          <w:rFonts w:cs="Simplified Arabic"/>
        </w:rPr>
        <w:t xml:space="preserve">Palestinian </w:t>
      </w:r>
      <w:r w:rsidRPr="00D44F45">
        <w:rPr>
          <w:rFonts w:cs="Simplified Arabic"/>
        </w:rPr>
        <w:t>Ministry o</w:t>
      </w:r>
      <w:r>
        <w:rPr>
          <w:rFonts w:cs="Simplified Arabic"/>
        </w:rPr>
        <w:t xml:space="preserve">f Health dropped dehydration </w:t>
      </w:r>
      <w:r w:rsidRPr="00D44F45">
        <w:rPr>
          <w:rFonts w:cs="Simplified Arabic"/>
        </w:rPr>
        <w:t xml:space="preserve"> </w:t>
      </w:r>
      <w:r>
        <w:rPr>
          <w:rFonts w:cs="Simplified Arabic"/>
        </w:rPr>
        <w:t xml:space="preserve">and </w:t>
      </w:r>
      <w:r w:rsidRPr="00D44F45">
        <w:rPr>
          <w:rFonts w:cs="Simplified Arabic"/>
        </w:rPr>
        <w:t>diseases of the digestive system from the</w:t>
      </w:r>
      <w:r>
        <w:rPr>
          <w:rFonts w:cs="Simplified Arabic"/>
        </w:rPr>
        <w:t xml:space="preserve"> list of </w:t>
      </w:r>
    </w:p>
    <w:p w:rsidR="00E01D2D" w:rsidRPr="00E01D2D" w:rsidRDefault="00E01D2D" w:rsidP="00E01D2D">
      <w:pPr>
        <w:bidi w:val="0"/>
        <w:jc w:val="both"/>
        <w:rPr>
          <w:rFonts w:cs="Simplified Arabic"/>
          <w:sz w:val="2"/>
          <w:szCs w:val="2"/>
        </w:rPr>
      </w:pPr>
    </w:p>
    <w:p w:rsidR="008822F1" w:rsidRPr="008822F1" w:rsidRDefault="008822F1" w:rsidP="00E01D2D">
      <w:pPr>
        <w:bidi w:val="0"/>
        <w:jc w:val="both"/>
        <w:rPr>
          <w:rFonts w:cs="Simplified Arabic"/>
          <w:sz w:val="2"/>
          <w:szCs w:val="2"/>
        </w:rPr>
      </w:pPr>
    </w:p>
    <w:p w:rsidR="008822F1" w:rsidRDefault="00695A81" w:rsidP="008822F1">
      <w:pPr>
        <w:bidi w:val="0"/>
        <w:rPr>
          <w:rFonts w:cs="Simplified Arabic"/>
        </w:rPr>
      </w:pPr>
      <w:r>
        <w:rPr>
          <w:rFonts w:cs="Simplified Arabic"/>
        </w:rPr>
        <w:t xml:space="preserve">diseases that cause </w:t>
      </w:r>
      <w:r w:rsidRPr="00D44F45">
        <w:rPr>
          <w:rFonts w:cs="Simplified Arabic"/>
        </w:rPr>
        <w:t>death among infants and ch</w:t>
      </w:r>
      <w:r>
        <w:rPr>
          <w:rFonts w:cs="Simplified Arabic"/>
        </w:rPr>
        <w:t xml:space="preserve">ildren under </w:t>
      </w:r>
      <w:r w:rsidRPr="00D44F45">
        <w:rPr>
          <w:rFonts w:cs="Simplified Arabic"/>
        </w:rPr>
        <w:t xml:space="preserve"> age of five.</w:t>
      </w:r>
      <w:r>
        <w:rPr>
          <w:rFonts w:cs="Simplified Arabic"/>
        </w:rPr>
        <w:t xml:space="preserve"> </w:t>
      </w:r>
      <w:r w:rsidRPr="00D44F45">
        <w:rPr>
          <w:rFonts w:cs="Simplified Arabic"/>
        </w:rPr>
        <w:br/>
      </w:r>
    </w:p>
    <w:p w:rsidR="00E01D2D" w:rsidRDefault="00695A81" w:rsidP="008822F1">
      <w:pPr>
        <w:bidi w:val="0"/>
        <w:jc w:val="both"/>
        <w:rPr>
          <w:rFonts w:cs="Simplified Arabic"/>
        </w:rPr>
      </w:pPr>
      <w:r w:rsidRPr="00D44F45">
        <w:rPr>
          <w:rFonts w:cs="Simplified Arabic"/>
        </w:rPr>
        <w:t>The data show</w:t>
      </w:r>
      <w:r>
        <w:rPr>
          <w:rFonts w:cs="Simplified Arabic"/>
        </w:rPr>
        <w:t>ed</w:t>
      </w:r>
      <w:r w:rsidRPr="00D44F45">
        <w:rPr>
          <w:rFonts w:cs="Simplified Arabic"/>
        </w:rPr>
        <w:t xml:space="preserve"> that the incidence of respiratory infections was 5.0% and the p</w:t>
      </w:r>
      <w:r>
        <w:rPr>
          <w:rFonts w:cs="Simplified Arabic"/>
        </w:rPr>
        <w:t>ercentage</w:t>
      </w:r>
      <w:r w:rsidRPr="00D44F45">
        <w:rPr>
          <w:rFonts w:cs="Simplified Arabic"/>
        </w:rPr>
        <w:t xml:space="preserve"> was the highest in </w:t>
      </w:r>
      <w:r>
        <w:rPr>
          <w:rFonts w:cs="Simplified Arabic"/>
        </w:rPr>
        <w:t xml:space="preserve">Gaza Strip compared to West Bank </w:t>
      </w:r>
      <w:r w:rsidRPr="00D44F45">
        <w:rPr>
          <w:rFonts w:cs="Simplified Arabic"/>
        </w:rPr>
        <w:t xml:space="preserve"> and in Salfit governorate</w:t>
      </w:r>
      <w:r>
        <w:rPr>
          <w:rFonts w:cs="Simplified Arabic"/>
        </w:rPr>
        <w:t xml:space="preserve"> at </w:t>
      </w:r>
      <w:r w:rsidRPr="00D44F45">
        <w:rPr>
          <w:rFonts w:cs="Simplified Arabic"/>
        </w:rPr>
        <w:t xml:space="preserve"> (10.2%) compared to the rest of </w:t>
      </w:r>
      <w:r>
        <w:rPr>
          <w:rFonts w:cs="Simplified Arabic"/>
        </w:rPr>
        <w:t>governorates</w:t>
      </w:r>
      <w:r w:rsidRPr="00D44F45">
        <w:rPr>
          <w:rFonts w:cs="Simplified Arabic"/>
        </w:rPr>
        <w:t xml:space="preserve">. Figure (2-7) </w:t>
      </w:r>
      <w:r>
        <w:rPr>
          <w:rFonts w:cs="Simplified Arabic"/>
        </w:rPr>
        <w:t xml:space="preserve">shows percentages </w:t>
      </w:r>
      <w:r w:rsidRPr="00D44F45">
        <w:rPr>
          <w:rFonts w:cs="Simplified Arabic"/>
        </w:rPr>
        <w:t xml:space="preserve"> of cases of diarrhea and </w:t>
      </w:r>
    </w:p>
    <w:p w:rsidR="00E01D2D" w:rsidRPr="00E01D2D" w:rsidRDefault="00E01D2D" w:rsidP="00E01D2D">
      <w:pPr>
        <w:bidi w:val="0"/>
        <w:rPr>
          <w:rFonts w:cs="Simplified Arabic"/>
          <w:sz w:val="2"/>
          <w:szCs w:val="2"/>
        </w:rPr>
      </w:pPr>
    </w:p>
    <w:p w:rsidR="002D5BCF" w:rsidRDefault="00695A81" w:rsidP="00E01D2D">
      <w:pPr>
        <w:bidi w:val="0"/>
        <w:rPr>
          <w:b/>
          <w:bCs/>
        </w:rPr>
      </w:pPr>
      <w:r w:rsidRPr="00D44F45">
        <w:rPr>
          <w:rFonts w:cs="Simplified Arabic"/>
        </w:rPr>
        <w:t xml:space="preserve">respiratory infections </w:t>
      </w:r>
      <w:r>
        <w:rPr>
          <w:rFonts w:cs="Simplified Arabic"/>
        </w:rPr>
        <w:t xml:space="preserve"> among </w:t>
      </w:r>
      <w:r w:rsidRPr="00D44F45">
        <w:rPr>
          <w:rFonts w:cs="Simplified Arabic"/>
        </w:rPr>
        <w:t>female</w:t>
      </w:r>
      <w:r>
        <w:rPr>
          <w:rFonts w:cs="Simplified Arabic"/>
        </w:rPr>
        <w:t>s</w:t>
      </w:r>
      <w:r w:rsidRPr="00D44F45">
        <w:rPr>
          <w:rFonts w:cs="Simplified Arabic"/>
        </w:rPr>
        <w:t xml:space="preserve"> were less compared to males.</w:t>
      </w:r>
      <w:r w:rsidRPr="00D44F45">
        <w:rPr>
          <w:rFonts w:cs="Simplified Arabic"/>
        </w:rPr>
        <w:br/>
        <w:t>  </w:t>
      </w:r>
      <w:r w:rsidRPr="00D44F45">
        <w:rPr>
          <w:rFonts w:cs="Simplified Arabic"/>
        </w:rPr>
        <w:br/>
      </w:r>
    </w:p>
    <w:p w:rsidR="002D5BCF" w:rsidRDefault="002D5BCF" w:rsidP="002D5BCF">
      <w:pPr>
        <w:bidi w:val="0"/>
        <w:jc w:val="both"/>
        <w:rPr>
          <w:b/>
          <w:bCs/>
        </w:rPr>
      </w:pPr>
    </w:p>
    <w:p w:rsidR="002D5BCF" w:rsidRDefault="002D5BCF" w:rsidP="002D5BCF">
      <w:pPr>
        <w:bidi w:val="0"/>
        <w:jc w:val="both"/>
        <w:rPr>
          <w:b/>
          <w:bCs/>
        </w:rPr>
      </w:pPr>
    </w:p>
    <w:p w:rsidR="002D5BCF" w:rsidRDefault="002D5BCF" w:rsidP="002D5BCF">
      <w:pPr>
        <w:bidi w:val="0"/>
        <w:jc w:val="both"/>
        <w:rPr>
          <w:b/>
          <w:bCs/>
        </w:rPr>
      </w:pPr>
    </w:p>
    <w:p w:rsidR="00F76182" w:rsidRPr="00F76182" w:rsidRDefault="008E15B5" w:rsidP="006A5E71">
      <w:pPr>
        <w:pStyle w:val="xl30"/>
        <w:pBdr>
          <w:left w:val="none" w:sz="0" w:space="0" w:color="auto"/>
          <w:bottom w:val="none" w:sz="0" w:space="0" w:color="auto"/>
          <w:right w:val="none" w:sz="0" w:space="0" w:color="auto"/>
        </w:pBdr>
        <w:spacing w:before="0" w:beforeAutospacing="0" w:after="0" w:afterAutospacing="0"/>
        <w:textAlignment w:val="auto"/>
        <w:rPr>
          <w:rFonts w:eastAsia="Times New Roman"/>
        </w:rPr>
      </w:pPr>
      <w:r w:rsidRPr="00F76182">
        <w:rPr>
          <w:rFonts w:eastAsia="Times New Roman"/>
        </w:rPr>
        <w:lastRenderedPageBreak/>
        <w:t>Figure (2-7):</w:t>
      </w:r>
      <w:r w:rsidR="00F76182" w:rsidRPr="00F76182">
        <w:rPr>
          <w:rFonts w:eastAsia="Times New Roman"/>
        </w:rPr>
        <w:t xml:space="preserve"> Percentage of children unde</w:t>
      </w:r>
      <w:r w:rsidR="006C2647">
        <w:rPr>
          <w:rFonts w:eastAsia="Times New Roman"/>
        </w:rPr>
        <w:t xml:space="preserve">r five infected of diarrhea and </w:t>
      </w:r>
      <w:r w:rsidR="00F76182" w:rsidRPr="00F76182">
        <w:rPr>
          <w:rFonts w:eastAsia="Times New Roman"/>
        </w:rPr>
        <w:t>or respiratory infections by sex</w:t>
      </w:r>
      <w:r w:rsidR="006A5E71">
        <w:rPr>
          <w:rFonts w:eastAsia="Times New Roman"/>
        </w:rPr>
        <w:t xml:space="preserve"> in </w:t>
      </w:r>
      <w:r w:rsidR="00F76182" w:rsidRPr="00F76182">
        <w:rPr>
          <w:rFonts w:eastAsia="Times New Roman"/>
        </w:rPr>
        <w:t>2010</w:t>
      </w:r>
    </w:p>
    <w:p w:rsidR="001876E6" w:rsidRDefault="008E15B5" w:rsidP="001876E6">
      <w:pPr>
        <w:bidi w:val="0"/>
        <w:jc w:val="center"/>
        <w:rPr>
          <w:b/>
          <w:bCs/>
        </w:rPr>
      </w:pPr>
      <w:r w:rsidRPr="008E15B5">
        <w:rPr>
          <w:b/>
          <w:bCs/>
          <w:noProof/>
          <w:lang w:eastAsia="en-US"/>
        </w:rPr>
        <w:drawing>
          <wp:inline distT="0" distB="0" distL="0" distR="0">
            <wp:extent cx="5648325" cy="2428875"/>
            <wp:effectExtent l="57150" t="0" r="66675" b="85725"/>
            <wp:docPr id="1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45715" w:rsidRDefault="00A45715" w:rsidP="00A45715">
      <w:pPr>
        <w:bidi w:val="0"/>
        <w:ind w:left="142"/>
        <w:jc w:val="lowKashida"/>
        <w:rPr>
          <w:sz w:val="20"/>
          <w:szCs w:val="20"/>
        </w:rPr>
      </w:pPr>
      <w:r>
        <w:rPr>
          <w:b/>
          <w:bCs/>
          <w:sz w:val="18"/>
          <w:szCs w:val="18"/>
        </w:rPr>
        <w:t xml:space="preserve">Source: </w:t>
      </w:r>
      <w:r w:rsidRPr="008A2CCC">
        <w:rPr>
          <w:b/>
          <w:bCs/>
          <w:sz w:val="18"/>
          <w:szCs w:val="18"/>
        </w:rPr>
        <w:t>Palestinian Central Bureau of Statistics, 2011</w:t>
      </w:r>
      <w:r w:rsidRPr="008A2CCC">
        <w:rPr>
          <w:sz w:val="18"/>
          <w:szCs w:val="18"/>
        </w:rPr>
        <w:t>.  Palestinian Family Survey 2010</w:t>
      </w:r>
      <w:r>
        <w:rPr>
          <w:b/>
          <w:bCs/>
          <w:sz w:val="18"/>
          <w:szCs w:val="18"/>
        </w:rPr>
        <w:t>,</w:t>
      </w:r>
      <w:r w:rsidRPr="008A2CCC">
        <w:rPr>
          <w:b/>
          <w:bCs/>
          <w:sz w:val="18"/>
          <w:szCs w:val="18"/>
        </w:rPr>
        <w:t xml:space="preserve">  </w:t>
      </w:r>
      <w:r w:rsidRPr="008A2CCC">
        <w:rPr>
          <w:i/>
          <w:iCs/>
          <w:sz w:val="18"/>
          <w:szCs w:val="18"/>
        </w:rPr>
        <w:t xml:space="preserve">Main Report.   </w:t>
      </w:r>
      <w:r w:rsidRPr="008A2CCC">
        <w:rPr>
          <w:b/>
          <w:bCs/>
          <w:sz w:val="18"/>
          <w:szCs w:val="18"/>
        </w:rPr>
        <w:t>Ramallah</w:t>
      </w:r>
      <w:r w:rsidRPr="008A2CCC">
        <w:rPr>
          <w:rFonts w:hint="cs"/>
          <w:b/>
          <w:bCs/>
          <w:sz w:val="18"/>
          <w:szCs w:val="18"/>
          <w:rtl/>
          <w:lang w:val="en-AU"/>
        </w:rPr>
        <w:t xml:space="preserve">- </w:t>
      </w:r>
      <w:r>
        <w:rPr>
          <w:b/>
          <w:bCs/>
          <w:sz w:val="18"/>
          <w:szCs w:val="18"/>
        </w:rPr>
        <w:t xml:space="preserve">    </w:t>
      </w:r>
      <w:r w:rsidRPr="008A2CCC">
        <w:rPr>
          <w:b/>
          <w:bCs/>
          <w:sz w:val="18"/>
          <w:szCs w:val="18"/>
        </w:rPr>
        <w:t>Palestine</w:t>
      </w:r>
    </w:p>
    <w:p w:rsidR="001876E6" w:rsidRDefault="001876E6" w:rsidP="001876E6">
      <w:pPr>
        <w:bidi w:val="0"/>
        <w:jc w:val="center"/>
        <w:rPr>
          <w:b/>
          <w:bCs/>
        </w:rPr>
      </w:pPr>
    </w:p>
    <w:p w:rsidR="00C23E2A" w:rsidRPr="00B2059F" w:rsidRDefault="00F57A18" w:rsidP="00B50FCC">
      <w:pPr>
        <w:bidi w:val="0"/>
        <w:rPr>
          <w:b/>
          <w:bCs/>
        </w:rPr>
      </w:pPr>
      <w:r>
        <w:rPr>
          <w:b/>
          <w:bCs/>
          <w:color w:val="000000"/>
        </w:rPr>
        <w:t>2.</w:t>
      </w:r>
      <w:r w:rsidR="00FD0F58">
        <w:rPr>
          <w:b/>
          <w:bCs/>
          <w:color w:val="000000"/>
        </w:rPr>
        <w:t xml:space="preserve">8 </w:t>
      </w:r>
      <w:r w:rsidR="00C23E2A">
        <w:rPr>
          <w:b/>
          <w:bCs/>
        </w:rPr>
        <w:t xml:space="preserve">Children </w:t>
      </w:r>
      <w:r w:rsidR="00B50FCC">
        <w:rPr>
          <w:b/>
          <w:bCs/>
        </w:rPr>
        <w:t>W</w:t>
      </w:r>
      <w:r w:rsidR="00C23E2A">
        <w:rPr>
          <w:b/>
          <w:bCs/>
        </w:rPr>
        <w:t xml:space="preserve">ith </w:t>
      </w:r>
      <w:r w:rsidR="00B50FCC">
        <w:rPr>
          <w:b/>
          <w:bCs/>
        </w:rPr>
        <w:t>D</w:t>
      </w:r>
      <w:r w:rsidR="00C23E2A">
        <w:rPr>
          <w:b/>
          <w:bCs/>
        </w:rPr>
        <w:t xml:space="preserve">isabilities </w:t>
      </w:r>
    </w:p>
    <w:p w:rsidR="007540CE" w:rsidRDefault="007540CE" w:rsidP="00E50827">
      <w:pPr>
        <w:bidi w:val="0"/>
        <w:jc w:val="both"/>
      </w:pPr>
      <w:r w:rsidRPr="00B2059F">
        <w:t>1.5</w:t>
      </w:r>
      <w:r w:rsidR="0034405D">
        <w:t>%</w:t>
      </w:r>
      <w:r>
        <w:t xml:space="preserve"> </w:t>
      </w:r>
      <w:r w:rsidRPr="00B2059F">
        <w:t xml:space="preserve">out of children in Palestinian </w:t>
      </w:r>
      <w:r w:rsidR="00E50827">
        <w:t>T</w:t>
      </w:r>
      <w:r w:rsidRPr="00B2059F">
        <w:t>erritor</w:t>
      </w:r>
      <w:r>
        <w:t>y</w:t>
      </w:r>
      <w:r w:rsidRPr="00B2059F">
        <w:t xml:space="preserve"> </w:t>
      </w:r>
      <w:r>
        <w:t>with</w:t>
      </w:r>
      <w:r w:rsidRPr="00B2059F">
        <w:t xml:space="preserve"> disabilities  in 2011; 1.6</w:t>
      </w:r>
      <w:r w:rsidR="0034405D">
        <w:t>%</w:t>
      </w:r>
      <w:r>
        <w:t xml:space="preserve"> </w:t>
      </w:r>
      <w:r w:rsidRPr="00B2059F">
        <w:t>in</w:t>
      </w:r>
      <w:r>
        <w:t xml:space="preserve"> the</w:t>
      </w:r>
      <w:r w:rsidRPr="00B2059F">
        <w:t xml:space="preserve"> West Bank and 1.4</w:t>
      </w:r>
      <w:r w:rsidR="0034405D">
        <w:t>%</w:t>
      </w:r>
      <w:r>
        <w:t xml:space="preserve"> </w:t>
      </w:r>
      <w:r w:rsidRPr="00B2059F">
        <w:t>in Gaza</w:t>
      </w:r>
      <w:r>
        <w:t xml:space="preserve"> S</w:t>
      </w:r>
      <w:r w:rsidRPr="00B2059F">
        <w:t>trip, concerning the disabi</w:t>
      </w:r>
      <w:r>
        <w:t>lity</w:t>
      </w:r>
      <w:r w:rsidRPr="00B2059F">
        <w:t xml:space="preserve"> percentage distribution</w:t>
      </w:r>
      <w:r>
        <w:t xml:space="preserve"> according to sex it was 1.8</w:t>
      </w:r>
      <w:r w:rsidR="0034405D">
        <w:t>%</w:t>
      </w:r>
      <w:r>
        <w:t xml:space="preserve"> among</w:t>
      </w:r>
      <w:r w:rsidRPr="00B2059F">
        <w:t xml:space="preserve"> males</w:t>
      </w:r>
      <w:r>
        <w:t xml:space="preserve"> children</w:t>
      </w:r>
      <w:r w:rsidRPr="00B2059F">
        <w:t xml:space="preserve"> 1.3</w:t>
      </w:r>
      <w:r w:rsidR="0034405D">
        <w:t>%</w:t>
      </w:r>
      <w:r>
        <w:t xml:space="preserve"> </w:t>
      </w:r>
      <w:r w:rsidRPr="00B2059F">
        <w:t>females</w:t>
      </w:r>
      <w:r>
        <w:t xml:space="preserve"> children</w:t>
      </w:r>
      <w:r w:rsidRPr="00B2059F">
        <w:t xml:space="preserve">. </w:t>
      </w:r>
    </w:p>
    <w:p w:rsidR="007540CE" w:rsidRPr="00F86936" w:rsidRDefault="007540CE" w:rsidP="007540CE">
      <w:pPr>
        <w:bidi w:val="0"/>
        <w:rPr>
          <w:sz w:val="20"/>
          <w:szCs w:val="20"/>
        </w:rPr>
      </w:pPr>
    </w:p>
    <w:p w:rsidR="007540CE" w:rsidRPr="00B2059F" w:rsidRDefault="007540CE" w:rsidP="007540CE">
      <w:pPr>
        <w:bidi w:val="0"/>
        <w:rPr>
          <w:b/>
          <w:bCs/>
        </w:rPr>
      </w:pPr>
      <w:r w:rsidRPr="00B2059F">
        <w:rPr>
          <w:b/>
          <w:bCs/>
        </w:rPr>
        <w:t xml:space="preserve">Congenital causes are the most common reasons behind disability among </w:t>
      </w:r>
      <w:r>
        <w:rPr>
          <w:b/>
          <w:bCs/>
        </w:rPr>
        <w:t>children</w:t>
      </w:r>
    </w:p>
    <w:p w:rsidR="007540CE" w:rsidRDefault="007540CE" w:rsidP="00980209">
      <w:pPr>
        <w:bidi w:val="0"/>
        <w:jc w:val="both"/>
      </w:pPr>
      <w:r w:rsidRPr="00B2059F">
        <w:t xml:space="preserve">The main cause for disability was congenital </w:t>
      </w:r>
      <w:r w:rsidR="007256FA">
        <w:t xml:space="preserve">at </w:t>
      </w:r>
      <w:r w:rsidRPr="00B2059F">
        <w:t>29.6</w:t>
      </w:r>
      <w:r w:rsidR="007256FA">
        <w:t>%</w:t>
      </w:r>
      <w:r w:rsidR="00980209">
        <w:t>;</w:t>
      </w:r>
      <w:r w:rsidR="007256FA">
        <w:t xml:space="preserve"> </w:t>
      </w:r>
      <w:r w:rsidRPr="00B2059F">
        <w:t>31.4</w:t>
      </w:r>
      <w:r w:rsidR="0034405D">
        <w:t>%</w:t>
      </w:r>
      <w:r>
        <w:t xml:space="preserve"> </w:t>
      </w:r>
      <w:r w:rsidRPr="00B2059F">
        <w:t>in</w:t>
      </w:r>
      <w:r>
        <w:t xml:space="preserve"> </w:t>
      </w:r>
      <w:r w:rsidRPr="00B2059F">
        <w:t>West Bank and 26.5</w:t>
      </w:r>
      <w:r w:rsidR="0034405D">
        <w:t>%</w:t>
      </w:r>
      <w:r>
        <w:t xml:space="preserve"> </w:t>
      </w:r>
      <w:r w:rsidRPr="00B2059F">
        <w:t>in Gaza</w:t>
      </w:r>
      <w:r>
        <w:t xml:space="preserve"> Strip</w:t>
      </w:r>
      <w:r w:rsidRPr="00B2059F">
        <w:t xml:space="preserve">, comes after diseases causes </w:t>
      </w:r>
      <w:r w:rsidR="007256FA">
        <w:t xml:space="preserve">at </w:t>
      </w:r>
      <w:r w:rsidRPr="00B2059F">
        <w:t>24.0</w:t>
      </w:r>
      <w:r w:rsidR="007256FA">
        <w:t>%</w:t>
      </w:r>
      <w:r w:rsidR="00980209">
        <w:t>;</w:t>
      </w:r>
      <w:r w:rsidR="007256FA">
        <w:t xml:space="preserve">  </w:t>
      </w:r>
      <w:r w:rsidRPr="00B2059F">
        <w:t>25.3</w:t>
      </w:r>
      <w:r w:rsidR="0034405D">
        <w:t>%</w:t>
      </w:r>
      <w:r>
        <w:t xml:space="preserve"> </w:t>
      </w:r>
      <w:r w:rsidRPr="00B2059F">
        <w:t>in</w:t>
      </w:r>
      <w:r>
        <w:t xml:space="preserve"> </w:t>
      </w:r>
      <w:r w:rsidRPr="00B2059F">
        <w:t>West Bank and 21.6</w:t>
      </w:r>
      <w:r w:rsidR="0034405D">
        <w:t>%</w:t>
      </w:r>
      <w:r>
        <w:t xml:space="preserve"> </w:t>
      </w:r>
      <w:r w:rsidRPr="00B2059F">
        <w:t xml:space="preserve">in Gaza </w:t>
      </w:r>
      <w:r>
        <w:t>S</w:t>
      </w:r>
      <w:r w:rsidRPr="00B2059F">
        <w:t>trip .</w:t>
      </w:r>
    </w:p>
    <w:p w:rsidR="000A1246" w:rsidRPr="00F86936" w:rsidRDefault="000A1246" w:rsidP="000A1246">
      <w:pPr>
        <w:bidi w:val="0"/>
        <w:ind w:right="7655"/>
        <w:jc w:val="lowKashida"/>
        <w:rPr>
          <w:b/>
          <w:bCs/>
          <w:color w:val="000000"/>
        </w:rPr>
      </w:pPr>
    </w:p>
    <w:p w:rsidR="000A1246" w:rsidRPr="00F86936" w:rsidRDefault="00EE4F88" w:rsidP="005A4D71">
      <w:pPr>
        <w:bidi w:val="0"/>
        <w:ind w:right="139"/>
        <w:jc w:val="center"/>
        <w:rPr>
          <w:b/>
          <w:bCs/>
          <w:color w:val="000000"/>
          <w:sz w:val="22"/>
          <w:szCs w:val="22"/>
        </w:rPr>
      </w:pPr>
      <w:r w:rsidRPr="00F86936">
        <w:rPr>
          <w:b/>
          <w:bCs/>
          <w:sz w:val="22"/>
          <w:szCs w:val="22"/>
        </w:rPr>
        <w:t>Table (2-</w:t>
      </w:r>
      <w:r w:rsidR="00FD0F58" w:rsidRPr="00F86936">
        <w:rPr>
          <w:rFonts w:hint="cs"/>
          <w:b/>
          <w:bCs/>
          <w:sz w:val="22"/>
          <w:szCs w:val="22"/>
          <w:rtl/>
        </w:rPr>
        <w:t>1</w:t>
      </w:r>
      <w:r w:rsidRPr="00F86936">
        <w:rPr>
          <w:b/>
          <w:bCs/>
          <w:sz w:val="22"/>
          <w:szCs w:val="22"/>
        </w:rPr>
        <w:t>)</w:t>
      </w:r>
      <w:r w:rsidRPr="00F86936">
        <w:rPr>
          <w:b/>
          <w:bCs/>
          <w:color w:val="000000"/>
          <w:sz w:val="22"/>
          <w:szCs w:val="22"/>
        </w:rPr>
        <w:t xml:space="preserve">: </w:t>
      </w:r>
      <w:r w:rsidR="00720488" w:rsidRPr="00F86936">
        <w:rPr>
          <w:b/>
          <w:bCs/>
          <w:color w:val="000000"/>
          <w:sz w:val="22"/>
          <w:szCs w:val="22"/>
        </w:rPr>
        <w:t>Percentage distribution of disabled individuals 0-17 years by reason of disability and region</w:t>
      </w:r>
      <w:r w:rsidR="005A4D71">
        <w:rPr>
          <w:b/>
          <w:bCs/>
          <w:color w:val="000000"/>
          <w:sz w:val="22"/>
          <w:szCs w:val="22"/>
        </w:rPr>
        <w:t xml:space="preserve"> in</w:t>
      </w:r>
      <w:r w:rsidR="005A4D71" w:rsidRPr="00F86936">
        <w:rPr>
          <w:b/>
          <w:bCs/>
          <w:color w:val="000000"/>
          <w:sz w:val="22"/>
          <w:szCs w:val="22"/>
        </w:rPr>
        <w:t xml:space="preserve"> </w:t>
      </w:r>
      <w:r w:rsidR="00720488" w:rsidRPr="00F86936">
        <w:rPr>
          <w:b/>
          <w:bCs/>
          <w:color w:val="000000"/>
          <w:sz w:val="22"/>
          <w:szCs w:val="22"/>
        </w:rPr>
        <w:t>2011</w:t>
      </w:r>
    </w:p>
    <w:p w:rsidR="00720488" w:rsidRPr="00B87282" w:rsidRDefault="00720488" w:rsidP="00720488">
      <w:pPr>
        <w:bidi w:val="0"/>
        <w:ind w:right="139"/>
        <w:jc w:val="center"/>
        <w:rPr>
          <w:b/>
          <w:bCs/>
          <w:color w:val="000000"/>
          <w:sz w:val="12"/>
          <w:szCs w:val="12"/>
        </w:rPr>
      </w:pPr>
    </w:p>
    <w:tbl>
      <w:tblPr>
        <w:bidiVisual/>
        <w:tblW w:w="9213" w:type="dxa"/>
        <w:jc w:val="center"/>
        <w:tblCellMar>
          <w:left w:w="0" w:type="dxa"/>
          <w:right w:w="0" w:type="dxa"/>
        </w:tblCellMar>
        <w:tblLook w:val="0000"/>
      </w:tblPr>
      <w:tblGrid>
        <w:gridCol w:w="2125"/>
        <w:gridCol w:w="2127"/>
        <w:gridCol w:w="1756"/>
        <w:gridCol w:w="3205"/>
      </w:tblGrid>
      <w:tr w:rsidR="004520B0" w:rsidTr="00F86936">
        <w:trPr>
          <w:cantSplit/>
          <w:trHeight w:hRule="exact" w:val="340"/>
          <w:jc w:val="center"/>
        </w:trPr>
        <w:tc>
          <w:tcPr>
            <w:tcW w:w="2125" w:type="dxa"/>
            <w:vMerge w:val="restart"/>
            <w:tcBorders>
              <w:top w:val="single" w:sz="4" w:space="0" w:color="auto"/>
              <w:left w:val="single" w:sz="4" w:space="0" w:color="auto"/>
              <w:right w:val="single" w:sz="4" w:space="0" w:color="auto"/>
            </w:tcBorders>
            <w:vAlign w:val="center"/>
          </w:tcPr>
          <w:p w:rsidR="004520B0" w:rsidRDefault="004520B0" w:rsidP="00E50827">
            <w:pPr>
              <w:jc w:val="center"/>
              <w:rPr>
                <w:rFonts w:ascii="Arial" w:hAnsi="Arial" w:cs="Simplified Arabic"/>
                <w:b/>
                <w:bCs/>
                <w:sz w:val="18"/>
                <w:szCs w:val="18"/>
                <w:rtl/>
                <w:lang w:eastAsia="en-US"/>
              </w:rPr>
            </w:pPr>
            <w:r>
              <w:rPr>
                <w:rFonts w:ascii="Arial" w:hAnsi="Arial" w:cs="Simplified Arabic"/>
                <w:b/>
                <w:bCs/>
                <w:sz w:val="18"/>
                <w:szCs w:val="18"/>
                <w:lang w:eastAsia="en-US"/>
              </w:rPr>
              <w:t xml:space="preserve">Palestinian </w:t>
            </w:r>
            <w:r w:rsidR="00E50827">
              <w:rPr>
                <w:rFonts w:ascii="Arial" w:hAnsi="Arial" w:cs="Simplified Arabic"/>
                <w:b/>
                <w:bCs/>
                <w:sz w:val="18"/>
                <w:szCs w:val="18"/>
                <w:lang w:eastAsia="en-US"/>
              </w:rPr>
              <w:t>T</w:t>
            </w:r>
            <w:r>
              <w:rPr>
                <w:rFonts w:ascii="Arial" w:hAnsi="Arial" w:cs="Simplified Arabic"/>
                <w:b/>
                <w:bCs/>
                <w:sz w:val="18"/>
                <w:szCs w:val="18"/>
                <w:lang w:eastAsia="en-US"/>
              </w:rPr>
              <w:t>erritory</w:t>
            </w:r>
          </w:p>
        </w:tc>
        <w:tc>
          <w:tcPr>
            <w:tcW w:w="3883" w:type="dxa"/>
            <w:gridSpan w:val="2"/>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4520B0" w:rsidRDefault="004520B0" w:rsidP="00FF4FD3">
            <w:pPr>
              <w:jc w:val="center"/>
              <w:rPr>
                <w:rFonts w:ascii="Arial" w:hAnsi="Arial" w:cs="Simplified Arabic"/>
                <w:b/>
                <w:bCs/>
                <w:sz w:val="18"/>
                <w:szCs w:val="18"/>
                <w:lang w:eastAsia="en-US"/>
              </w:rPr>
            </w:pPr>
            <w:r>
              <w:rPr>
                <w:rFonts w:ascii="Arial" w:hAnsi="Arial" w:cs="Simplified Arabic"/>
                <w:b/>
                <w:bCs/>
                <w:sz w:val="18"/>
                <w:szCs w:val="18"/>
                <w:lang w:eastAsia="en-US"/>
              </w:rPr>
              <w:t>Region</w:t>
            </w:r>
          </w:p>
        </w:tc>
        <w:tc>
          <w:tcPr>
            <w:tcW w:w="3205" w:type="dxa"/>
            <w:vMerge w:val="restart"/>
            <w:tcBorders>
              <w:top w:val="single" w:sz="4" w:space="0" w:color="auto"/>
              <w:left w:val="single" w:sz="4" w:space="0" w:color="auto"/>
              <w:right w:val="single" w:sz="4" w:space="0" w:color="auto"/>
            </w:tcBorders>
            <w:tcMar>
              <w:top w:w="16" w:type="dxa"/>
              <w:left w:w="16" w:type="dxa"/>
              <w:bottom w:w="0" w:type="dxa"/>
              <w:right w:w="16" w:type="dxa"/>
            </w:tcMar>
            <w:vAlign w:val="center"/>
          </w:tcPr>
          <w:p w:rsidR="004520B0" w:rsidRDefault="00436FC0" w:rsidP="00FF4FD3">
            <w:pPr>
              <w:jc w:val="center"/>
              <w:rPr>
                <w:rFonts w:ascii="Arial" w:hAnsi="Arial" w:cs="Simplified Arabic"/>
                <w:b/>
                <w:bCs/>
                <w:sz w:val="18"/>
                <w:szCs w:val="18"/>
                <w:rtl/>
                <w:lang w:eastAsia="en-US"/>
              </w:rPr>
            </w:pPr>
            <w:r w:rsidRPr="00436FC0">
              <w:rPr>
                <w:rFonts w:ascii="Arial" w:hAnsi="Arial" w:cs="Simplified Arabic"/>
                <w:b/>
                <w:bCs/>
                <w:sz w:val="18"/>
                <w:szCs w:val="18"/>
                <w:lang w:eastAsia="en-US"/>
              </w:rPr>
              <w:t>Reason of Disability</w:t>
            </w:r>
          </w:p>
        </w:tc>
      </w:tr>
      <w:tr w:rsidR="004520B0" w:rsidTr="00F86936">
        <w:trPr>
          <w:cantSplit/>
          <w:trHeight w:hRule="exact" w:val="340"/>
          <w:jc w:val="center"/>
        </w:trPr>
        <w:tc>
          <w:tcPr>
            <w:tcW w:w="2125" w:type="dxa"/>
            <w:vMerge/>
            <w:tcBorders>
              <w:left w:val="single" w:sz="4" w:space="0" w:color="auto"/>
              <w:bottom w:val="single" w:sz="4" w:space="0" w:color="auto"/>
              <w:right w:val="single" w:sz="4" w:space="0" w:color="auto"/>
            </w:tcBorders>
            <w:vAlign w:val="center"/>
          </w:tcPr>
          <w:p w:rsidR="004520B0" w:rsidRDefault="004520B0" w:rsidP="00FF4FD3">
            <w:pPr>
              <w:jc w:val="center"/>
              <w:rPr>
                <w:rFonts w:ascii="Arial" w:eastAsia="Arial Unicode MS" w:hAnsi="Arial" w:cs="Arial Unicode MS"/>
                <w:b/>
                <w:bCs/>
                <w:sz w:val="18"/>
                <w:szCs w:val="18"/>
                <w:rtl/>
                <w:lang w:eastAsia="en-US"/>
              </w:rPr>
            </w:pPr>
          </w:p>
        </w:tc>
        <w:tc>
          <w:tcPr>
            <w:tcW w:w="2127"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4520B0" w:rsidRDefault="004520B0" w:rsidP="004520B0">
            <w:pPr>
              <w:jc w:val="center"/>
              <w:rPr>
                <w:rFonts w:ascii="Arial" w:eastAsia="Arial Unicode MS" w:hAnsi="Arial" w:cs="Arial Unicode MS"/>
                <w:b/>
                <w:bCs/>
                <w:sz w:val="18"/>
                <w:szCs w:val="18"/>
                <w:rtl/>
                <w:lang w:eastAsia="en-US"/>
              </w:rPr>
            </w:pPr>
            <w:r>
              <w:rPr>
                <w:rFonts w:ascii="Arial" w:hAnsi="Arial" w:cs="Simplified Arabic"/>
                <w:b/>
                <w:bCs/>
                <w:sz w:val="18"/>
                <w:szCs w:val="18"/>
                <w:lang w:eastAsia="en-US"/>
              </w:rPr>
              <w:t>West Bank</w:t>
            </w:r>
          </w:p>
        </w:tc>
        <w:tc>
          <w:tcPr>
            <w:tcW w:w="1756"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4520B0" w:rsidRDefault="004520B0" w:rsidP="00FF4FD3">
            <w:pPr>
              <w:jc w:val="center"/>
              <w:rPr>
                <w:rFonts w:ascii="Arial" w:hAnsi="Arial" w:cs="Simplified Arabic"/>
                <w:b/>
                <w:bCs/>
                <w:sz w:val="18"/>
                <w:szCs w:val="18"/>
                <w:rtl/>
                <w:lang w:eastAsia="en-US"/>
              </w:rPr>
            </w:pPr>
            <w:r>
              <w:rPr>
                <w:rFonts w:ascii="Arial" w:hAnsi="Arial" w:cs="Simplified Arabic"/>
                <w:b/>
                <w:bCs/>
                <w:sz w:val="18"/>
                <w:szCs w:val="18"/>
                <w:lang w:eastAsia="en-US"/>
              </w:rPr>
              <w:t>Gaza Strip</w:t>
            </w:r>
          </w:p>
        </w:tc>
        <w:tc>
          <w:tcPr>
            <w:tcW w:w="3205" w:type="dxa"/>
            <w:vMerge/>
            <w:tcBorders>
              <w:left w:val="single" w:sz="4" w:space="0" w:color="auto"/>
              <w:bottom w:val="single" w:sz="4" w:space="0" w:color="auto"/>
              <w:right w:val="single" w:sz="4" w:space="0" w:color="auto"/>
            </w:tcBorders>
            <w:tcMar>
              <w:top w:w="16" w:type="dxa"/>
              <w:left w:w="16" w:type="dxa"/>
              <w:bottom w:w="0" w:type="dxa"/>
              <w:right w:w="16" w:type="dxa"/>
            </w:tcMar>
            <w:vAlign w:val="center"/>
          </w:tcPr>
          <w:p w:rsidR="004520B0" w:rsidRDefault="004520B0" w:rsidP="00FF4FD3">
            <w:pPr>
              <w:jc w:val="center"/>
              <w:rPr>
                <w:rFonts w:ascii="Arial" w:hAnsi="Arial" w:cs="Simplified Arabic"/>
                <w:b/>
                <w:bCs/>
                <w:sz w:val="18"/>
                <w:szCs w:val="18"/>
                <w:rtl/>
                <w:lang w:eastAsia="en-US"/>
              </w:rPr>
            </w:pPr>
          </w:p>
        </w:tc>
      </w:tr>
      <w:tr w:rsidR="004520B0" w:rsidRPr="006A720D" w:rsidTr="00F86936">
        <w:trPr>
          <w:cantSplit/>
          <w:trHeight w:hRule="exact" w:val="340"/>
          <w:jc w:val="center"/>
        </w:trPr>
        <w:tc>
          <w:tcPr>
            <w:tcW w:w="2125" w:type="dxa"/>
            <w:tcBorders>
              <w:top w:val="single" w:sz="4" w:space="0" w:color="auto"/>
              <w:left w:val="single" w:sz="4" w:space="0" w:color="auto"/>
              <w:bottom w:val="nil"/>
            </w:tcBorders>
            <w:noWrap/>
            <w:tcMar>
              <w:top w:w="16" w:type="dxa"/>
              <w:left w:w="16" w:type="dxa"/>
              <w:bottom w:w="0" w:type="dxa"/>
              <w:right w:w="142" w:type="dxa"/>
            </w:tcMar>
            <w:vAlign w:val="center"/>
          </w:tcPr>
          <w:p w:rsidR="004520B0" w:rsidRPr="006A720D" w:rsidRDefault="004520B0"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29.6</w:t>
            </w:r>
          </w:p>
        </w:tc>
        <w:tc>
          <w:tcPr>
            <w:tcW w:w="2127" w:type="dxa"/>
            <w:tcBorders>
              <w:top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31.4</w:t>
            </w:r>
          </w:p>
        </w:tc>
        <w:tc>
          <w:tcPr>
            <w:tcW w:w="1756" w:type="dxa"/>
            <w:tcBorders>
              <w:top w:val="single" w:sz="4" w:space="0" w:color="auto"/>
              <w:right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26.5</w:t>
            </w:r>
          </w:p>
        </w:tc>
        <w:tc>
          <w:tcPr>
            <w:tcW w:w="3205" w:type="dxa"/>
            <w:tcBorders>
              <w:top w:val="single" w:sz="4" w:space="0" w:color="auto"/>
              <w:left w:val="single" w:sz="4" w:space="0" w:color="auto"/>
              <w:right w:val="single" w:sz="4" w:space="0" w:color="auto"/>
            </w:tcBorders>
            <w:tcMar>
              <w:top w:w="16" w:type="dxa"/>
              <w:left w:w="142" w:type="dxa"/>
              <w:right w:w="113" w:type="dxa"/>
            </w:tcMar>
            <w:vAlign w:val="center"/>
          </w:tcPr>
          <w:p w:rsidR="004520B0" w:rsidRPr="00E50371" w:rsidRDefault="00436FC0"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Congenital</w:t>
            </w:r>
          </w:p>
        </w:tc>
      </w:tr>
      <w:tr w:rsidR="004520B0"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4520B0" w:rsidRPr="006A720D" w:rsidRDefault="004520B0"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15.2</w:t>
            </w:r>
          </w:p>
        </w:tc>
        <w:tc>
          <w:tcPr>
            <w:tcW w:w="2127" w:type="dxa"/>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15.6</w:t>
            </w:r>
          </w:p>
        </w:tc>
        <w:tc>
          <w:tcPr>
            <w:tcW w:w="1756" w:type="dxa"/>
            <w:tcBorders>
              <w:right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14.4</w:t>
            </w:r>
          </w:p>
        </w:tc>
        <w:tc>
          <w:tcPr>
            <w:tcW w:w="3205" w:type="dxa"/>
            <w:tcBorders>
              <w:left w:val="single" w:sz="4" w:space="0" w:color="auto"/>
              <w:right w:val="single" w:sz="4" w:space="0" w:color="auto"/>
            </w:tcBorders>
            <w:tcMar>
              <w:top w:w="16" w:type="dxa"/>
              <w:left w:w="142" w:type="dxa"/>
              <w:right w:w="113" w:type="dxa"/>
            </w:tcMar>
            <w:vAlign w:val="center"/>
          </w:tcPr>
          <w:p w:rsidR="004520B0" w:rsidRPr="00E50371" w:rsidRDefault="00436FC0"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Birth related</w:t>
            </w:r>
          </w:p>
        </w:tc>
      </w:tr>
      <w:tr w:rsidR="004520B0"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4520B0" w:rsidRPr="006A720D" w:rsidRDefault="004520B0"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24.0</w:t>
            </w:r>
          </w:p>
        </w:tc>
        <w:tc>
          <w:tcPr>
            <w:tcW w:w="2127" w:type="dxa"/>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25.3</w:t>
            </w:r>
          </w:p>
        </w:tc>
        <w:tc>
          <w:tcPr>
            <w:tcW w:w="1756" w:type="dxa"/>
            <w:tcBorders>
              <w:right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21.6</w:t>
            </w:r>
          </w:p>
        </w:tc>
        <w:tc>
          <w:tcPr>
            <w:tcW w:w="3205" w:type="dxa"/>
            <w:tcBorders>
              <w:left w:val="single" w:sz="4" w:space="0" w:color="auto"/>
              <w:right w:val="single" w:sz="4" w:space="0" w:color="auto"/>
            </w:tcBorders>
            <w:tcMar>
              <w:top w:w="16" w:type="dxa"/>
              <w:left w:w="142" w:type="dxa"/>
              <w:right w:w="113" w:type="dxa"/>
            </w:tcMar>
            <w:vAlign w:val="center"/>
          </w:tcPr>
          <w:p w:rsidR="004520B0" w:rsidRPr="00E50371" w:rsidRDefault="00436FC0"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Illness</w:t>
            </w:r>
          </w:p>
        </w:tc>
      </w:tr>
      <w:tr w:rsidR="004520B0"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6" w:type="dxa"/>
            </w:tcMar>
            <w:vAlign w:val="center"/>
          </w:tcPr>
          <w:p w:rsidR="004520B0" w:rsidRPr="006A720D" w:rsidRDefault="00720488" w:rsidP="00720488">
            <w:pPr>
              <w:ind w:firstLineChars="100" w:firstLine="181"/>
              <w:rPr>
                <w:rFonts w:ascii="Arial" w:hAnsi="Arial" w:cs="Arial"/>
                <w:b/>
                <w:bCs/>
                <w:color w:val="000000"/>
                <w:sz w:val="18"/>
                <w:szCs w:val="18"/>
                <w:lang w:eastAsia="en-US"/>
              </w:rPr>
            </w:pPr>
            <w:r>
              <w:rPr>
                <w:rFonts w:ascii="Arial" w:hAnsi="Arial" w:cs="Arial" w:hint="cs"/>
                <w:b/>
                <w:bCs/>
                <w:color w:val="000000"/>
                <w:sz w:val="18"/>
                <w:szCs w:val="18"/>
                <w:rtl/>
                <w:lang w:eastAsia="en-US"/>
              </w:rPr>
              <w:t xml:space="preserve">   </w:t>
            </w:r>
            <w:r w:rsidR="004520B0" w:rsidRPr="006A720D">
              <w:rPr>
                <w:rFonts w:ascii="Arial" w:hAnsi="Arial" w:cs="Arial"/>
                <w:b/>
                <w:bCs/>
                <w:color w:val="000000"/>
                <w:sz w:val="18"/>
                <w:szCs w:val="18"/>
                <w:rtl/>
                <w:lang w:eastAsia="en-US"/>
              </w:rPr>
              <w:t>[1.4]</w:t>
            </w:r>
          </w:p>
        </w:tc>
        <w:tc>
          <w:tcPr>
            <w:tcW w:w="2127" w:type="dxa"/>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[0.6]</w:t>
            </w:r>
          </w:p>
        </w:tc>
        <w:tc>
          <w:tcPr>
            <w:tcW w:w="1756" w:type="dxa"/>
            <w:tcBorders>
              <w:right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[2.8]</w:t>
            </w:r>
          </w:p>
        </w:tc>
        <w:tc>
          <w:tcPr>
            <w:tcW w:w="3205" w:type="dxa"/>
            <w:tcBorders>
              <w:left w:val="single" w:sz="4" w:space="0" w:color="auto"/>
              <w:right w:val="single" w:sz="4" w:space="0" w:color="auto"/>
            </w:tcBorders>
            <w:tcMar>
              <w:top w:w="16" w:type="dxa"/>
              <w:left w:w="16" w:type="dxa"/>
              <w:bottom w:w="0" w:type="dxa"/>
              <w:right w:w="113" w:type="dxa"/>
            </w:tcMar>
            <w:vAlign w:val="center"/>
          </w:tcPr>
          <w:p w:rsidR="004520B0" w:rsidRPr="00E50371" w:rsidRDefault="00436FC0" w:rsidP="00E50371">
            <w:pPr>
              <w:ind w:right="127"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Physical and psychological abuse</w:t>
            </w:r>
          </w:p>
        </w:tc>
      </w:tr>
      <w:tr w:rsidR="004520B0"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4520B0" w:rsidRPr="006A720D" w:rsidRDefault="004520B0"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[1.4]</w:t>
            </w:r>
          </w:p>
        </w:tc>
        <w:tc>
          <w:tcPr>
            <w:tcW w:w="2127" w:type="dxa"/>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[1.1]</w:t>
            </w:r>
          </w:p>
        </w:tc>
        <w:tc>
          <w:tcPr>
            <w:tcW w:w="1756" w:type="dxa"/>
            <w:tcBorders>
              <w:right w:val="single" w:sz="4" w:space="0" w:color="auto"/>
            </w:tcBorders>
            <w:tcMar>
              <w:right w:w="113" w:type="dxa"/>
            </w:tcMar>
            <w:vAlign w:val="center"/>
          </w:tcPr>
          <w:p w:rsidR="004520B0" w:rsidRPr="006A720D" w:rsidRDefault="004520B0"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[1.9]</w:t>
            </w:r>
          </w:p>
        </w:tc>
        <w:tc>
          <w:tcPr>
            <w:tcW w:w="3205" w:type="dxa"/>
            <w:tcBorders>
              <w:left w:val="single" w:sz="4" w:space="0" w:color="auto"/>
              <w:right w:val="single" w:sz="4" w:space="0" w:color="auto"/>
            </w:tcBorders>
            <w:tcMar>
              <w:top w:w="16" w:type="dxa"/>
              <w:left w:w="142" w:type="dxa"/>
              <w:right w:w="113" w:type="dxa"/>
            </w:tcMar>
            <w:vAlign w:val="center"/>
          </w:tcPr>
          <w:p w:rsidR="004520B0"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Traffic accident</w:t>
            </w:r>
          </w:p>
        </w:tc>
      </w:tr>
      <w:tr w:rsidR="00720488"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[4.4]</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[3.9]</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[5.2]</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Other Kind of accidents</w:t>
            </w:r>
          </w:p>
        </w:tc>
      </w:tr>
      <w:tr w:rsidR="00720488"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[1.6]</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[1.5]</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[1.7]</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Israeli measures</w:t>
            </w:r>
          </w:p>
        </w:tc>
      </w:tr>
      <w:tr w:rsidR="00720488"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[0.4]</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[0.1]</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[1.1]</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Stress</w:t>
            </w:r>
          </w:p>
        </w:tc>
      </w:tr>
      <w:tr w:rsidR="00720488"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12.2</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12.3</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12.1</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Hereditary</w:t>
            </w:r>
          </w:p>
        </w:tc>
      </w:tr>
      <w:tr w:rsidR="00720488" w:rsidRPr="006A720D" w:rsidTr="00F86936">
        <w:trPr>
          <w:cantSplit/>
          <w:trHeight w:hRule="exact" w:val="340"/>
          <w:jc w:val="center"/>
        </w:trPr>
        <w:tc>
          <w:tcPr>
            <w:tcW w:w="2125" w:type="dxa"/>
            <w:tcBorders>
              <w:top w:val="nil"/>
              <w:left w:val="single" w:sz="4" w:space="0" w:color="auto"/>
              <w:bottom w:val="nil"/>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[4.3]</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[2.7]</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[7.0]</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092BFF" w:rsidP="00E50371">
            <w:pPr>
              <w:ind w:firstLineChars="100" w:firstLine="180"/>
              <w:jc w:val="right"/>
              <w:rPr>
                <w:rFonts w:ascii="Arial" w:hAnsi="Arial" w:cs="Arial" w:hint="cs"/>
                <w:color w:val="000000"/>
                <w:sz w:val="18"/>
                <w:szCs w:val="18"/>
                <w:rtl/>
                <w:lang w:eastAsia="en-US"/>
              </w:rPr>
            </w:pPr>
            <w:r>
              <w:rPr>
                <w:rFonts w:ascii="Arial" w:hAnsi="Arial" w:cs="Arial"/>
                <w:color w:val="000000"/>
                <w:sz w:val="18"/>
                <w:szCs w:val="18"/>
                <w:lang w:eastAsia="en-US"/>
              </w:rPr>
              <w:t>Pregnancy related</w:t>
            </w:r>
          </w:p>
        </w:tc>
      </w:tr>
      <w:tr w:rsidR="00720488" w:rsidRPr="006A720D" w:rsidTr="00F86936">
        <w:trPr>
          <w:cantSplit/>
          <w:trHeight w:hRule="exact" w:val="340"/>
          <w:jc w:val="center"/>
        </w:trPr>
        <w:tc>
          <w:tcPr>
            <w:tcW w:w="2125" w:type="dxa"/>
            <w:tcBorders>
              <w:top w:val="nil"/>
              <w:left w:val="single" w:sz="4" w:space="0" w:color="auto"/>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5.5</w:t>
            </w:r>
          </w:p>
        </w:tc>
        <w:tc>
          <w:tcPr>
            <w:tcW w:w="2127" w:type="dxa"/>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5.5</w:t>
            </w:r>
          </w:p>
        </w:tc>
        <w:tc>
          <w:tcPr>
            <w:tcW w:w="1756" w:type="dxa"/>
            <w:tcBorders>
              <w:right w:val="single" w:sz="4" w:space="0" w:color="auto"/>
            </w:tcBorders>
            <w:tcMar>
              <w:right w:w="113" w:type="dxa"/>
            </w:tcMar>
            <w:vAlign w:val="center"/>
          </w:tcPr>
          <w:p w:rsidR="00720488" w:rsidRPr="006A720D" w:rsidRDefault="00720488" w:rsidP="00720488">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5.7</w:t>
            </w:r>
          </w:p>
        </w:tc>
        <w:tc>
          <w:tcPr>
            <w:tcW w:w="3205" w:type="dxa"/>
            <w:tcBorders>
              <w:left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Other</w:t>
            </w:r>
          </w:p>
        </w:tc>
      </w:tr>
      <w:tr w:rsidR="00720488" w:rsidRPr="006A720D" w:rsidTr="00F86936">
        <w:trPr>
          <w:cantSplit/>
          <w:trHeight w:hRule="exact" w:val="340"/>
          <w:jc w:val="center"/>
        </w:trPr>
        <w:tc>
          <w:tcPr>
            <w:tcW w:w="2125" w:type="dxa"/>
            <w:tcBorders>
              <w:top w:val="nil"/>
              <w:left w:val="single" w:sz="4" w:space="0" w:color="auto"/>
              <w:bottom w:val="single" w:sz="4" w:space="0" w:color="auto"/>
            </w:tcBorders>
            <w:noWrap/>
            <w:tcMar>
              <w:top w:w="16" w:type="dxa"/>
              <w:left w:w="16" w:type="dxa"/>
              <w:bottom w:w="0" w:type="dxa"/>
              <w:right w:w="142"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c>
          <w:tcPr>
            <w:tcW w:w="2127" w:type="dxa"/>
            <w:tcBorders>
              <w:bottom w:val="single" w:sz="4" w:space="0" w:color="auto"/>
            </w:tcBorders>
            <w:tcMar>
              <w:right w:w="113"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c>
          <w:tcPr>
            <w:tcW w:w="1756" w:type="dxa"/>
            <w:tcBorders>
              <w:bottom w:val="single" w:sz="4" w:space="0" w:color="auto"/>
              <w:right w:val="single" w:sz="4" w:space="0" w:color="auto"/>
            </w:tcBorders>
            <w:tcMar>
              <w:right w:w="113" w:type="dxa"/>
            </w:tcMar>
            <w:vAlign w:val="center"/>
          </w:tcPr>
          <w:p w:rsidR="00720488" w:rsidRPr="006A720D" w:rsidRDefault="00720488" w:rsidP="00720488">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c>
          <w:tcPr>
            <w:tcW w:w="3205" w:type="dxa"/>
            <w:tcBorders>
              <w:left w:val="single" w:sz="4" w:space="0" w:color="auto"/>
              <w:bottom w:val="single" w:sz="4" w:space="0" w:color="auto"/>
              <w:right w:val="single" w:sz="4" w:space="0" w:color="auto"/>
            </w:tcBorders>
            <w:tcMar>
              <w:top w:w="16" w:type="dxa"/>
              <w:left w:w="142" w:type="dxa"/>
              <w:right w:w="113" w:type="dxa"/>
            </w:tcMar>
            <w:vAlign w:val="center"/>
          </w:tcPr>
          <w:p w:rsidR="00720488" w:rsidRPr="00E50371" w:rsidRDefault="00720488" w:rsidP="00E50371">
            <w:pPr>
              <w:ind w:firstLineChars="100" w:firstLine="180"/>
              <w:jc w:val="right"/>
              <w:rPr>
                <w:rFonts w:ascii="Arial" w:hAnsi="Arial" w:cs="Arial"/>
                <w:color w:val="000000"/>
                <w:sz w:val="18"/>
                <w:szCs w:val="18"/>
                <w:lang w:eastAsia="en-US"/>
              </w:rPr>
            </w:pPr>
            <w:r w:rsidRPr="00E50371">
              <w:rPr>
                <w:rFonts w:ascii="Arial" w:hAnsi="Arial" w:cs="Arial"/>
                <w:color w:val="000000"/>
                <w:sz w:val="18"/>
                <w:szCs w:val="18"/>
                <w:lang w:eastAsia="en-US"/>
              </w:rPr>
              <w:t>Total</w:t>
            </w:r>
          </w:p>
        </w:tc>
      </w:tr>
    </w:tbl>
    <w:p w:rsidR="004C4505" w:rsidRPr="004C4505" w:rsidRDefault="004C4505" w:rsidP="00E50371">
      <w:pPr>
        <w:bidi w:val="0"/>
        <w:ind w:right="-144"/>
        <w:jc w:val="lowKashida"/>
        <w:rPr>
          <w:sz w:val="18"/>
          <w:szCs w:val="18"/>
        </w:rPr>
      </w:pPr>
      <w:r w:rsidRPr="004C4505">
        <w:rPr>
          <w:sz w:val="18"/>
          <w:szCs w:val="18"/>
        </w:rPr>
        <w:t>Figures in parentheses [ ] indicate percentages based on small numbers and are therefore subject to a large marginal error</w:t>
      </w:r>
    </w:p>
    <w:p w:rsidR="000A1246" w:rsidRDefault="00B87282" w:rsidP="00E50371">
      <w:pPr>
        <w:bidi w:val="0"/>
        <w:ind w:right="-144"/>
        <w:jc w:val="lowKashida"/>
        <w:rPr>
          <w:b/>
          <w:bCs/>
          <w:color w:val="000000"/>
        </w:rPr>
      </w:pPr>
      <w:r w:rsidRPr="00B87282">
        <w:rPr>
          <w:b/>
          <w:bCs/>
          <w:sz w:val="18"/>
          <w:szCs w:val="18"/>
        </w:rPr>
        <w:t>Source: Palestinian Central Bureau of Statistics and Ministry of Social Affairs, 2011</w:t>
      </w:r>
      <w:r w:rsidRPr="00B87282">
        <w:rPr>
          <w:sz w:val="18"/>
          <w:szCs w:val="18"/>
        </w:rPr>
        <w:t xml:space="preserve">.  </w:t>
      </w:r>
      <w:r w:rsidRPr="00B87282">
        <w:rPr>
          <w:i/>
          <w:iCs/>
          <w:sz w:val="18"/>
          <w:szCs w:val="18"/>
        </w:rPr>
        <w:t>Disabled Individuals Survey, 2011, Main Findings Report</w:t>
      </w:r>
      <w:r w:rsidRPr="00044139">
        <w:rPr>
          <w:b/>
          <w:bCs/>
          <w:i/>
          <w:iCs/>
          <w:sz w:val="18"/>
          <w:szCs w:val="18"/>
        </w:rPr>
        <w:t xml:space="preserve">.    </w:t>
      </w:r>
      <w:r w:rsidRPr="00044139">
        <w:rPr>
          <w:b/>
          <w:bCs/>
          <w:sz w:val="18"/>
          <w:szCs w:val="18"/>
        </w:rPr>
        <w:t>Ramallah</w:t>
      </w:r>
      <w:r w:rsidRPr="00044139">
        <w:rPr>
          <w:b/>
          <w:bCs/>
          <w:sz w:val="18"/>
          <w:szCs w:val="18"/>
          <w:rtl/>
          <w:lang w:val="en-AU"/>
        </w:rPr>
        <w:t xml:space="preserve"> - </w:t>
      </w:r>
      <w:r w:rsidRPr="00044139">
        <w:rPr>
          <w:b/>
          <w:bCs/>
          <w:sz w:val="18"/>
          <w:szCs w:val="18"/>
        </w:rPr>
        <w:t>Palestine</w:t>
      </w:r>
      <w:r>
        <w:rPr>
          <w:rtl/>
          <w:lang w:val="en-AU"/>
        </w:rPr>
        <w:t>.</w:t>
      </w:r>
    </w:p>
    <w:p w:rsidR="00F57A18" w:rsidRDefault="00F57A18" w:rsidP="00C23E2A">
      <w:pPr>
        <w:bidi w:val="0"/>
        <w:jc w:val="both"/>
      </w:pPr>
      <w:r>
        <w:rPr>
          <w:b/>
          <w:bCs/>
        </w:rPr>
        <w:lastRenderedPageBreak/>
        <w:t xml:space="preserve">Adaptations Needed in Schools by Disabled 10-17 Years Currently Enrolled in Education </w:t>
      </w:r>
    </w:p>
    <w:p w:rsidR="00F57A18" w:rsidRPr="00FD1201" w:rsidRDefault="00F57A18" w:rsidP="00F57A18">
      <w:pPr>
        <w:bidi w:val="0"/>
        <w:rPr>
          <w:sz w:val="16"/>
          <w:szCs w:val="16"/>
        </w:rPr>
      </w:pPr>
    </w:p>
    <w:p w:rsidR="00F57A18" w:rsidRPr="00F57A18" w:rsidRDefault="00F57A18" w:rsidP="00E70CF0">
      <w:pPr>
        <w:pStyle w:val="Heading3"/>
        <w:ind w:right="0"/>
        <w:jc w:val="right"/>
        <w:rPr>
          <w:i w:val="0"/>
          <w:iCs w:val="0"/>
        </w:rPr>
      </w:pPr>
      <w:r w:rsidRPr="00F57A18">
        <w:rPr>
          <w:i w:val="0"/>
          <w:iCs w:val="0"/>
        </w:rPr>
        <w:t xml:space="preserve">Seeing </w:t>
      </w:r>
      <w:r w:rsidR="00E70CF0">
        <w:rPr>
          <w:i w:val="0"/>
          <w:iCs w:val="0"/>
        </w:rPr>
        <w:t xml:space="preserve">( Visual) </w:t>
      </w:r>
      <w:r w:rsidRPr="00F57A18">
        <w:rPr>
          <w:i w:val="0"/>
          <w:iCs w:val="0"/>
        </w:rPr>
        <w:t>disabilities:</w:t>
      </w:r>
    </w:p>
    <w:p w:rsidR="00F57A18" w:rsidRDefault="00F57A18" w:rsidP="00E60083">
      <w:pPr>
        <w:bidi w:val="0"/>
        <w:jc w:val="both"/>
        <w:rPr>
          <w:rFonts w:cs="Simplified Arabic"/>
        </w:rPr>
      </w:pPr>
      <w:r>
        <w:rPr>
          <w:rFonts w:cs="Simplified Arabic"/>
        </w:rPr>
        <w:t>24.5% of individuals with Seeing disabilities require adaptations to transportation in their schools in order to continue their education: also, one-quarter require adaptations to school buildings, 38.5% require adaptations in classrooms, while 11.5% require adaptations to toilet facilities</w:t>
      </w:r>
      <w:r w:rsidR="00E60083" w:rsidRPr="00E60083">
        <w:rPr>
          <w:lang w:eastAsia="en-US"/>
        </w:rPr>
        <w:t xml:space="preserve"> </w:t>
      </w:r>
      <w:r w:rsidR="00E60083">
        <w:rPr>
          <w:lang w:eastAsia="en-US"/>
        </w:rPr>
        <w:t>in 2011</w:t>
      </w:r>
      <w:r w:rsidR="00E60083">
        <w:rPr>
          <w:rFonts w:cs="Simplified Arabic"/>
        </w:rPr>
        <w:t xml:space="preserve"> </w:t>
      </w:r>
      <w:r>
        <w:rPr>
          <w:rFonts w:cs="Simplified Arabic"/>
        </w:rPr>
        <w:t>.</w:t>
      </w:r>
    </w:p>
    <w:p w:rsidR="00F57A18" w:rsidRDefault="00F57A18" w:rsidP="00F57A18">
      <w:pPr>
        <w:bidi w:val="0"/>
        <w:rPr>
          <w:b/>
          <w:bCs/>
        </w:rPr>
      </w:pPr>
    </w:p>
    <w:p w:rsidR="00F57A18" w:rsidRDefault="00F57A18" w:rsidP="00F57A18">
      <w:pPr>
        <w:bidi w:val="0"/>
        <w:rPr>
          <w:b/>
          <w:bCs/>
        </w:rPr>
      </w:pPr>
      <w:r>
        <w:rPr>
          <w:b/>
          <w:bCs/>
        </w:rPr>
        <w:t>Hearing disabilities:</w:t>
      </w:r>
    </w:p>
    <w:p w:rsidR="00F57A18" w:rsidRDefault="00F57A18" w:rsidP="00F57A18">
      <w:pPr>
        <w:bidi w:val="0"/>
        <w:jc w:val="both"/>
        <w:rPr>
          <w:rFonts w:cs="Simplified Arabic"/>
        </w:rPr>
      </w:pPr>
      <w:r>
        <w:rPr>
          <w:rFonts w:cs="Simplified Arabic"/>
        </w:rPr>
        <w:t>15.2% of individuals with hearing disability require adaptations to transportation to continue their education; 12.5% require adaptations to school buildings, 24.2% require adaptations in classrooms, while 3.1% require adaptations to toilet facilities</w:t>
      </w:r>
      <w:r w:rsidR="00E60083" w:rsidRPr="00E60083">
        <w:rPr>
          <w:lang w:eastAsia="en-US"/>
        </w:rPr>
        <w:t xml:space="preserve"> </w:t>
      </w:r>
      <w:r w:rsidR="00E60083">
        <w:rPr>
          <w:lang w:eastAsia="en-US"/>
        </w:rPr>
        <w:t>in 2011</w:t>
      </w:r>
      <w:r w:rsidR="00E60083">
        <w:rPr>
          <w:rFonts w:cs="Simplified Arabic"/>
        </w:rPr>
        <w:t xml:space="preserve"> </w:t>
      </w:r>
      <w:r>
        <w:rPr>
          <w:rFonts w:cs="Simplified Arabic"/>
        </w:rPr>
        <w:t>.</w:t>
      </w:r>
    </w:p>
    <w:p w:rsidR="00F57A18" w:rsidRDefault="00F57A18" w:rsidP="00F57A18">
      <w:pPr>
        <w:bidi w:val="0"/>
        <w:ind w:right="7655"/>
        <w:jc w:val="lowKashida"/>
        <w:rPr>
          <w:b/>
          <w:bCs/>
          <w:color w:val="000000"/>
        </w:rPr>
      </w:pPr>
    </w:p>
    <w:p w:rsidR="00F57A18" w:rsidRPr="00F57A18" w:rsidRDefault="00F57A18" w:rsidP="00F57A18">
      <w:pPr>
        <w:bidi w:val="0"/>
        <w:rPr>
          <w:b/>
          <w:bCs/>
        </w:rPr>
      </w:pPr>
      <w:r w:rsidRPr="00F57A18">
        <w:rPr>
          <w:b/>
          <w:bCs/>
        </w:rPr>
        <w:t xml:space="preserve">Mobility </w:t>
      </w:r>
      <w:r w:rsidR="00F033F4">
        <w:rPr>
          <w:b/>
          <w:bCs/>
        </w:rPr>
        <w:t xml:space="preserve">( Physical) </w:t>
      </w:r>
      <w:r w:rsidRPr="00F57A18">
        <w:rPr>
          <w:b/>
          <w:bCs/>
        </w:rPr>
        <w:t>disabilities:</w:t>
      </w:r>
    </w:p>
    <w:p w:rsidR="00F57A18" w:rsidRDefault="00F57A18" w:rsidP="00E60083">
      <w:pPr>
        <w:bidi w:val="0"/>
        <w:rPr>
          <w:rFonts w:cs="Simplified Arabic"/>
        </w:rPr>
      </w:pPr>
      <w:r>
        <w:rPr>
          <w:rFonts w:cs="Simplified Arabic"/>
        </w:rPr>
        <w:t>50.0% of individuals with mobility disabilities require adaptations to transportation in their schools to continue their education; 46.3% require adaptations to school buildings, half of individuals require adaptations in classrooms, while 52.8% of individuals require adaptations to toilet facilities</w:t>
      </w:r>
      <w:r w:rsidR="00E60083" w:rsidRPr="00E60083">
        <w:rPr>
          <w:lang w:eastAsia="en-US"/>
        </w:rPr>
        <w:t xml:space="preserve"> </w:t>
      </w:r>
      <w:r w:rsidR="00E60083">
        <w:rPr>
          <w:lang w:eastAsia="en-US"/>
        </w:rPr>
        <w:t>in 2011</w:t>
      </w:r>
      <w:r w:rsidR="00E60083">
        <w:rPr>
          <w:rFonts w:cs="Simplified Arabic"/>
        </w:rPr>
        <w:t xml:space="preserve"> </w:t>
      </w:r>
      <w:r>
        <w:rPr>
          <w:rFonts w:cs="Simplified Arabic"/>
        </w:rPr>
        <w:t>.</w:t>
      </w:r>
    </w:p>
    <w:p w:rsidR="00E50371" w:rsidRDefault="00E50371" w:rsidP="0016103D">
      <w:pPr>
        <w:bidi w:val="0"/>
        <w:ind w:right="565"/>
        <w:jc w:val="center"/>
        <w:rPr>
          <w:b/>
          <w:bCs/>
          <w:color w:val="000000"/>
        </w:rPr>
      </w:pPr>
    </w:p>
    <w:p w:rsidR="00F86936" w:rsidRDefault="00F86936" w:rsidP="00F86936">
      <w:pPr>
        <w:bidi w:val="0"/>
        <w:ind w:right="565"/>
        <w:jc w:val="center"/>
        <w:rPr>
          <w:b/>
          <w:bCs/>
          <w:color w:val="000000"/>
        </w:rPr>
      </w:pPr>
    </w:p>
    <w:p w:rsidR="000A1246" w:rsidRDefault="00EE4F88" w:rsidP="00E01D54">
      <w:pPr>
        <w:bidi w:val="0"/>
        <w:ind w:right="565"/>
        <w:jc w:val="center"/>
        <w:rPr>
          <w:b/>
          <w:bCs/>
          <w:color w:val="000000"/>
        </w:rPr>
      </w:pPr>
      <w:r w:rsidRPr="00864793">
        <w:rPr>
          <w:b/>
          <w:bCs/>
        </w:rPr>
        <w:t xml:space="preserve">Table </w:t>
      </w:r>
      <w:r>
        <w:rPr>
          <w:b/>
          <w:bCs/>
        </w:rPr>
        <w:t>(2-</w:t>
      </w:r>
      <w:r w:rsidR="00FD0F58">
        <w:rPr>
          <w:rFonts w:hint="cs"/>
          <w:b/>
          <w:bCs/>
          <w:rtl/>
        </w:rPr>
        <w:t>2</w:t>
      </w:r>
      <w:r>
        <w:rPr>
          <w:b/>
          <w:bCs/>
        </w:rPr>
        <w:t>)</w:t>
      </w:r>
      <w:r>
        <w:rPr>
          <w:b/>
          <w:bCs/>
          <w:color w:val="000000"/>
        </w:rPr>
        <w:t xml:space="preserve">: </w:t>
      </w:r>
      <w:r w:rsidR="0016103D" w:rsidRPr="0016103D">
        <w:rPr>
          <w:b/>
          <w:bCs/>
          <w:color w:val="000000"/>
        </w:rPr>
        <w:t>Percentage of disabled individuals aged 10-17 years needing modified features to continue education by main disability</w:t>
      </w:r>
      <w:r w:rsidR="006D5359">
        <w:rPr>
          <w:b/>
          <w:bCs/>
          <w:color w:val="000000"/>
        </w:rPr>
        <w:t xml:space="preserve"> in</w:t>
      </w:r>
      <w:r w:rsidR="0016103D" w:rsidRPr="0016103D">
        <w:rPr>
          <w:b/>
          <w:bCs/>
          <w:color w:val="000000"/>
        </w:rPr>
        <w:t xml:space="preserve"> 2011</w:t>
      </w:r>
    </w:p>
    <w:p w:rsidR="000A1246" w:rsidRDefault="000A1246" w:rsidP="0016103D">
      <w:pPr>
        <w:bidi w:val="0"/>
        <w:ind w:right="565"/>
        <w:jc w:val="lowKashida"/>
        <w:rPr>
          <w:b/>
          <w:bCs/>
          <w:color w:val="000000"/>
        </w:rPr>
      </w:pPr>
    </w:p>
    <w:tbl>
      <w:tblPr>
        <w:tblStyle w:val="TableGrid"/>
        <w:bidiVisual/>
        <w:tblW w:w="0" w:type="auto"/>
        <w:tblInd w:w="-320" w:type="dxa"/>
        <w:tblLayout w:type="fixed"/>
        <w:tblLook w:val="04A0"/>
      </w:tblPr>
      <w:tblGrid>
        <w:gridCol w:w="1134"/>
        <w:gridCol w:w="1843"/>
        <w:gridCol w:w="992"/>
        <w:gridCol w:w="1701"/>
        <w:gridCol w:w="993"/>
        <w:gridCol w:w="992"/>
        <w:gridCol w:w="1843"/>
      </w:tblGrid>
      <w:tr w:rsidR="0016103D" w:rsidTr="004C1C05">
        <w:trPr>
          <w:trHeight w:val="332"/>
        </w:trPr>
        <w:tc>
          <w:tcPr>
            <w:tcW w:w="7655" w:type="dxa"/>
            <w:gridSpan w:val="6"/>
            <w:vAlign w:val="center"/>
          </w:tcPr>
          <w:p w:rsidR="0016103D" w:rsidRPr="00E50371" w:rsidRDefault="0016103D" w:rsidP="00E50371">
            <w:pPr>
              <w:jc w:val="center"/>
              <w:rPr>
                <w:rFonts w:ascii="Arial" w:hAnsi="Arial" w:cs="Arial"/>
                <w:b/>
                <w:bCs/>
                <w:color w:val="000000"/>
                <w:sz w:val="18"/>
                <w:szCs w:val="18"/>
                <w:rtl/>
                <w:lang w:eastAsia="en-US"/>
              </w:rPr>
            </w:pPr>
            <w:r w:rsidRPr="00E50371">
              <w:rPr>
                <w:rFonts w:ascii="Arial" w:hAnsi="Arial" w:cs="Arial"/>
                <w:b/>
                <w:bCs/>
                <w:color w:val="000000"/>
                <w:sz w:val="18"/>
                <w:szCs w:val="18"/>
                <w:lang w:eastAsia="en-US"/>
              </w:rPr>
              <w:t>Main Disability</w:t>
            </w:r>
          </w:p>
        </w:tc>
        <w:tc>
          <w:tcPr>
            <w:tcW w:w="1843" w:type="dxa"/>
            <w:vMerge w:val="restart"/>
            <w:vAlign w:val="center"/>
          </w:tcPr>
          <w:p w:rsidR="0016103D" w:rsidRPr="007F4722" w:rsidRDefault="0016103D" w:rsidP="007F4722">
            <w:pPr>
              <w:ind w:firstLineChars="100" w:firstLine="181"/>
              <w:jc w:val="center"/>
              <w:rPr>
                <w:rFonts w:ascii="Arial" w:hAnsi="Arial" w:cs="Arial"/>
                <w:b/>
                <w:bCs/>
                <w:color w:val="000000"/>
                <w:sz w:val="18"/>
                <w:szCs w:val="18"/>
                <w:rtl/>
                <w:lang w:eastAsia="en-US"/>
              </w:rPr>
            </w:pPr>
            <w:r w:rsidRPr="007F4722">
              <w:rPr>
                <w:rFonts w:ascii="Arial" w:hAnsi="Arial" w:cs="Arial"/>
                <w:b/>
                <w:bCs/>
                <w:color w:val="000000"/>
                <w:sz w:val="18"/>
                <w:szCs w:val="18"/>
                <w:lang w:eastAsia="en-US"/>
              </w:rPr>
              <w:t>Variables</w:t>
            </w:r>
          </w:p>
        </w:tc>
      </w:tr>
      <w:tr w:rsidR="004C1C05" w:rsidTr="004C1C05">
        <w:trPr>
          <w:trHeight w:val="563"/>
        </w:trPr>
        <w:tc>
          <w:tcPr>
            <w:tcW w:w="1134" w:type="dxa"/>
            <w:tcBorders>
              <w:bottom w:val="single" w:sz="4" w:space="0" w:color="auto"/>
            </w:tcBorders>
            <w:vAlign w:val="center"/>
          </w:tcPr>
          <w:p w:rsidR="004C1C05" w:rsidRPr="00A71D54" w:rsidRDefault="004C1C05"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Learning</w:t>
            </w:r>
          </w:p>
        </w:tc>
        <w:tc>
          <w:tcPr>
            <w:tcW w:w="1843" w:type="dxa"/>
            <w:tcBorders>
              <w:bottom w:val="single" w:sz="4" w:space="0" w:color="auto"/>
            </w:tcBorders>
            <w:vAlign w:val="center"/>
          </w:tcPr>
          <w:p w:rsidR="004C1C05" w:rsidRPr="00A71D54" w:rsidRDefault="004C1C05"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Remembering and concentrating</w:t>
            </w:r>
          </w:p>
        </w:tc>
        <w:tc>
          <w:tcPr>
            <w:tcW w:w="992" w:type="dxa"/>
            <w:tcBorders>
              <w:bottom w:val="single" w:sz="4" w:space="0" w:color="auto"/>
            </w:tcBorders>
            <w:vAlign w:val="center"/>
          </w:tcPr>
          <w:p w:rsidR="004C1C05" w:rsidRPr="00A71D54" w:rsidRDefault="004C1C05"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Mobility</w:t>
            </w:r>
          </w:p>
        </w:tc>
        <w:tc>
          <w:tcPr>
            <w:tcW w:w="1701" w:type="dxa"/>
            <w:tcBorders>
              <w:bottom w:val="single" w:sz="4" w:space="0" w:color="auto"/>
            </w:tcBorders>
            <w:vAlign w:val="center"/>
          </w:tcPr>
          <w:p w:rsidR="004C1C05" w:rsidRPr="00A71D54" w:rsidRDefault="004C1C05"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Communication</w:t>
            </w:r>
          </w:p>
        </w:tc>
        <w:tc>
          <w:tcPr>
            <w:tcW w:w="993" w:type="dxa"/>
            <w:tcBorders>
              <w:bottom w:val="single" w:sz="4" w:space="0" w:color="auto"/>
            </w:tcBorders>
            <w:vAlign w:val="center"/>
          </w:tcPr>
          <w:p w:rsidR="004C1C05" w:rsidRPr="00A71D54" w:rsidRDefault="004C1C05"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Hearing</w:t>
            </w:r>
          </w:p>
        </w:tc>
        <w:tc>
          <w:tcPr>
            <w:tcW w:w="992" w:type="dxa"/>
            <w:tcBorders>
              <w:bottom w:val="single" w:sz="4" w:space="0" w:color="auto"/>
            </w:tcBorders>
            <w:vAlign w:val="center"/>
          </w:tcPr>
          <w:p w:rsidR="004C1C05" w:rsidRPr="00A71D54" w:rsidRDefault="004C1C05" w:rsidP="00A71D54">
            <w:pPr>
              <w:ind w:firstLineChars="100" w:firstLine="170"/>
              <w:jc w:val="center"/>
              <w:rPr>
                <w:rFonts w:ascii="Arial" w:hAnsi="Arial" w:cs="Arial"/>
                <w:color w:val="000000"/>
                <w:sz w:val="17"/>
                <w:szCs w:val="17"/>
                <w:rtl/>
                <w:lang w:eastAsia="en-US"/>
              </w:rPr>
            </w:pPr>
            <w:r w:rsidRPr="00A71D54">
              <w:rPr>
                <w:rFonts w:ascii="Arial" w:hAnsi="Arial" w:cs="Arial"/>
                <w:color w:val="000000"/>
                <w:sz w:val="17"/>
                <w:szCs w:val="17"/>
                <w:lang w:eastAsia="en-US"/>
              </w:rPr>
              <w:t>vision</w:t>
            </w:r>
          </w:p>
        </w:tc>
        <w:tc>
          <w:tcPr>
            <w:tcW w:w="1843" w:type="dxa"/>
            <w:vMerge/>
            <w:tcBorders>
              <w:bottom w:val="single" w:sz="4" w:space="0" w:color="auto"/>
            </w:tcBorders>
          </w:tcPr>
          <w:p w:rsidR="004C1C05" w:rsidRPr="00E50371" w:rsidRDefault="004C1C05" w:rsidP="00FF4FD3">
            <w:pPr>
              <w:jc w:val="lowKashida"/>
              <w:rPr>
                <w:rFonts w:ascii="Arial" w:hAnsi="Arial" w:cs="Arial"/>
                <w:color w:val="000000"/>
                <w:sz w:val="18"/>
                <w:szCs w:val="18"/>
                <w:rtl/>
                <w:lang w:eastAsia="en-US"/>
              </w:rPr>
            </w:pPr>
          </w:p>
        </w:tc>
      </w:tr>
      <w:tr w:rsidR="004C1C05" w:rsidTr="004C1C05">
        <w:trPr>
          <w:trHeight w:val="340"/>
        </w:trPr>
        <w:tc>
          <w:tcPr>
            <w:tcW w:w="1134" w:type="dxa"/>
            <w:tcBorders>
              <w:top w:val="single" w:sz="4" w:space="0" w:color="auto"/>
              <w:left w:val="single" w:sz="4" w:space="0" w:color="auto"/>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3.8</w:t>
            </w:r>
          </w:p>
        </w:tc>
        <w:tc>
          <w:tcPr>
            <w:tcW w:w="1843" w:type="dxa"/>
            <w:tcBorders>
              <w:top w:val="single" w:sz="4" w:space="0" w:color="auto"/>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25.0</w:t>
            </w:r>
          </w:p>
        </w:tc>
        <w:tc>
          <w:tcPr>
            <w:tcW w:w="992" w:type="dxa"/>
            <w:tcBorders>
              <w:top w:val="single" w:sz="4" w:space="0" w:color="auto"/>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50.0</w:t>
            </w:r>
          </w:p>
        </w:tc>
        <w:tc>
          <w:tcPr>
            <w:tcW w:w="1701" w:type="dxa"/>
            <w:tcBorders>
              <w:top w:val="single" w:sz="4" w:space="0" w:color="auto"/>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12.5</w:t>
            </w:r>
          </w:p>
        </w:tc>
        <w:tc>
          <w:tcPr>
            <w:tcW w:w="993" w:type="dxa"/>
            <w:tcBorders>
              <w:top w:val="single" w:sz="4" w:space="0" w:color="auto"/>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15.2</w:t>
            </w:r>
          </w:p>
        </w:tc>
        <w:tc>
          <w:tcPr>
            <w:tcW w:w="992" w:type="dxa"/>
            <w:tcBorders>
              <w:top w:val="single" w:sz="4" w:space="0" w:color="auto"/>
              <w:left w:val="nil"/>
              <w:bottom w:val="nil"/>
              <w:right w:val="single" w:sz="4" w:space="0" w:color="auto"/>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24.5</w:t>
            </w:r>
          </w:p>
        </w:tc>
        <w:tc>
          <w:tcPr>
            <w:tcW w:w="1843" w:type="dxa"/>
            <w:tcBorders>
              <w:top w:val="single" w:sz="4" w:space="0" w:color="auto"/>
              <w:left w:val="single" w:sz="4" w:space="0" w:color="auto"/>
              <w:bottom w:val="nil"/>
              <w:right w:val="single" w:sz="4" w:space="0" w:color="auto"/>
            </w:tcBorders>
            <w:vAlign w:val="center"/>
          </w:tcPr>
          <w:p w:rsidR="004C1C05" w:rsidRPr="00E50371" w:rsidRDefault="004C1C05" w:rsidP="00E50371">
            <w:pPr>
              <w:ind w:firstLineChars="100" w:firstLine="180"/>
              <w:jc w:val="right"/>
              <w:rPr>
                <w:rFonts w:ascii="Arial" w:hAnsi="Arial" w:cs="Arial"/>
                <w:color w:val="000000"/>
                <w:sz w:val="18"/>
                <w:szCs w:val="18"/>
                <w:rtl/>
                <w:lang w:eastAsia="en-US"/>
              </w:rPr>
            </w:pPr>
            <w:r w:rsidRPr="00E50371">
              <w:rPr>
                <w:rFonts w:ascii="Arial" w:hAnsi="Arial" w:cs="Arial"/>
                <w:color w:val="000000"/>
                <w:sz w:val="18"/>
                <w:szCs w:val="18"/>
                <w:lang w:eastAsia="en-US"/>
              </w:rPr>
              <w:t>Transportation</w:t>
            </w:r>
          </w:p>
        </w:tc>
      </w:tr>
      <w:tr w:rsidR="004C1C05" w:rsidTr="004C1C05">
        <w:trPr>
          <w:trHeight w:val="340"/>
        </w:trPr>
        <w:tc>
          <w:tcPr>
            <w:tcW w:w="1134" w:type="dxa"/>
            <w:tcBorders>
              <w:top w:val="nil"/>
              <w:left w:val="single" w:sz="4" w:space="0" w:color="auto"/>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1.9</w:t>
            </w:r>
          </w:p>
        </w:tc>
        <w:tc>
          <w:tcPr>
            <w:tcW w:w="1843" w:type="dxa"/>
            <w:tcBorders>
              <w:top w:val="nil"/>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20.0</w:t>
            </w:r>
          </w:p>
        </w:tc>
        <w:tc>
          <w:tcPr>
            <w:tcW w:w="992" w:type="dxa"/>
            <w:tcBorders>
              <w:top w:val="nil"/>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46.3</w:t>
            </w:r>
          </w:p>
        </w:tc>
        <w:tc>
          <w:tcPr>
            <w:tcW w:w="1701" w:type="dxa"/>
            <w:tcBorders>
              <w:top w:val="nil"/>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6.3</w:t>
            </w:r>
          </w:p>
        </w:tc>
        <w:tc>
          <w:tcPr>
            <w:tcW w:w="993" w:type="dxa"/>
            <w:tcBorders>
              <w:top w:val="nil"/>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12.5</w:t>
            </w:r>
          </w:p>
        </w:tc>
        <w:tc>
          <w:tcPr>
            <w:tcW w:w="992" w:type="dxa"/>
            <w:tcBorders>
              <w:top w:val="nil"/>
              <w:left w:val="nil"/>
              <w:bottom w:val="nil"/>
              <w:right w:val="single" w:sz="4" w:space="0" w:color="auto"/>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25.0</w:t>
            </w:r>
          </w:p>
        </w:tc>
        <w:tc>
          <w:tcPr>
            <w:tcW w:w="1843" w:type="dxa"/>
            <w:tcBorders>
              <w:top w:val="nil"/>
              <w:left w:val="single" w:sz="4" w:space="0" w:color="auto"/>
              <w:bottom w:val="nil"/>
              <w:right w:val="single" w:sz="4" w:space="0" w:color="auto"/>
            </w:tcBorders>
            <w:vAlign w:val="center"/>
          </w:tcPr>
          <w:p w:rsidR="004C1C05" w:rsidRPr="00E50371" w:rsidRDefault="004C1C05" w:rsidP="00E50371">
            <w:pPr>
              <w:ind w:firstLineChars="100" w:firstLine="180"/>
              <w:jc w:val="right"/>
              <w:rPr>
                <w:rFonts w:ascii="Arial" w:hAnsi="Arial" w:cs="Arial"/>
                <w:color w:val="000000"/>
                <w:sz w:val="18"/>
                <w:szCs w:val="18"/>
                <w:rtl/>
                <w:lang w:eastAsia="en-US"/>
              </w:rPr>
            </w:pPr>
            <w:r w:rsidRPr="00E50371">
              <w:rPr>
                <w:rFonts w:ascii="Arial" w:hAnsi="Arial" w:cs="Arial"/>
                <w:color w:val="000000"/>
                <w:sz w:val="18"/>
                <w:szCs w:val="18"/>
                <w:lang w:eastAsia="en-US"/>
              </w:rPr>
              <w:t>Building</w:t>
            </w:r>
          </w:p>
        </w:tc>
      </w:tr>
      <w:tr w:rsidR="004C1C05" w:rsidTr="004C1C05">
        <w:trPr>
          <w:trHeight w:val="340"/>
        </w:trPr>
        <w:tc>
          <w:tcPr>
            <w:tcW w:w="1134" w:type="dxa"/>
            <w:tcBorders>
              <w:top w:val="nil"/>
              <w:left w:val="single" w:sz="4" w:space="0" w:color="auto"/>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5.8</w:t>
            </w:r>
          </w:p>
        </w:tc>
        <w:tc>
          <w:tcPr>
            <w:tcW w:w="1843" w:type="dxa"/>
            <w:tcBorders>
              <w:top w:val="nil"/>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21.1</w:t>
            </w:r>
          </w:p>
        </w:tc>
        <w:tc>
          <w:tcPr>
            <w:tcW w:w="992" w:type="dxa"/>
            <w:tcBorders>
              <w:top w:val="nil"/>
              <w:left w:val="nil"/>
              <w:bottom w:val="nil"/>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50.0</w:t>
            </w:r>
          </w:p>
        </w:tc>
        <w:tc>
          <w:tcPr>
            <w:tcW w:w="1701" w:type="dxa"/>
            <w:tcBorders>
              <w:top w:val="nil"/>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12.5</w:t>
            </w:r>
          </w:p>
        </w:tc>
        <w:tc>
          <w:tcPr>
            <w:tcW w:w="993" w:type="dxa"/>
            <w:tcBorders>
              <w:top w:val="nil"/>
              <w:left w:val="nil"/>
              <w:bottom w:val="nil"/>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24.2</w:t>
            </w:r>
          </w:p>
        </w:tc>
        <w:tc>
          <w:tcPr>
            <w:tcW w:w="992" w:type="dxa"/>
            <w:tcBorders>
              <w:top w:val="nil"/>
              <w:left w:val="nil"/>
              <w:bottom w:val="nil"/>
              <w:right w:val="single" w:sz="4" w:space="0" w:color="auto"/>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38.5</w:t>
            </w:r>
          </w:p>
        </w:tc>
        <w:tc>
          <w:tcPr>
            <w:tcW w:w="1843" w:type="dxa"/>
            <w:tcBorders>
              <w:top w:val="nil"/>
              <w:left w:val="single" w:sz="4" w:space="0" w:color="auto"/>
              <w:bottom w:val="nil"/>
              <w:right w:val="single" w:sz="4" w:space="0" w:color="auto"/>
            </w:tcBorders>
            <w:vAlign w:val="center"/>
          </w:tcPr>
          <w:p w:rsidR="004C1C05" w:rsidRPr="00E50371" w:rsidRDefault="004C1C05" w:rsidP="00E50371">
            <w:pPr>
              <w:ind w:firstLineChars="100" w:firstLine="180"/>
              <w:jc w:val="right"/>
              <w:rPr>
                <w:rFonts w:ascii="Arial" w:hAnsi="Arial" w:cs="Arial"/>
                <w:color w:val="000000"/>
                <w:sz w:val="18"/>
                <w:szCs w:val="18"/>
                <w:rtl/>
                <w:lang w:eastAsia="en-US"/>
              </w:rPr>
            </w:pPr>
            <w:r w:rsidRPr="00E50371">
              <w:rPr>
                <w:rFonts w:ascii="Arial" w:hAnsi="Arial" w:cs="Arial"/>
                <w:color w:val="000000"/>
                <w:sz w:val="18"/>
                <w:szCs w:val="18"/>
                <w:lang w:eastAsia="en-US"/>
              </w:rPr>
              <w:t>Classrooms</w:t>
            </w:r>
          </w:p>
        </w:tc>
      </w:tr>
      <w:tr w:rsidR="004C1C05" w:rsidTr="004C1C05">
        <w:trPr>
          <w:trHeight w:val="340"/>
        </w:trPr>
        <w:tc>
          <w:tcPr>
            <w:tcW w:w="1134" w:type="dxa"/>
            <w:tcBorders>
              <w:top w:val="nil"/>
              <w:left w:val="single" w:sz="4" w:space="0" w:color="auto"/>
              <w:bottom w:val="single" w:sz="4" w:space="0" w:color="auto"/>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1.9</w:t>
            </w:r>
          </w:p>
        </w:tc>
        <w:tc>
          <w:tcPr>
            <w:tcW w:w="1843" w:type="dxa"/>
            <w:tcBorders>
              <w:top w:val="nil"/>
              <w:left w:val="nil"/>
              <w:bottom w:val="single" w:sz="4" w:space="0" w:color="auto"/>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10.5</w:t>
            </w:r>
          </w:p>
        </w:tc>
        <w:tc>
          <w:tcPr>
            <w:tcW w:w="992" w:type="dxa"/>
            <w:tcBorders>
              <w:top w:val="nil"/>
              <w:left w:val="nil"/>
              <w:bottom w:val="single" w:sz="4" w:space="0" w:color="auto"/>
              <w:right w:val="nil"/>
            </w:tcBorders>
            <w:vAlign w:val="center"/>
          </w:tcPr>
          <w:p w:rsidR="004C1C05" w:rsidRPr="0037550F" w:rsidRDefault="004C1C05" w:rsidP="007F4722">
            <w:pPr>
              <w:rPr>
                <w:rFonts w:asciiTheme="minorBidi" w:hAnsiTheme="minorBidi" w:cstheme="minorBidi"/>
                <w:sz w:val="18"/>
                <w:szCs w:val="18"/>
                <w:rtl/>
              </w:rPr>
            </w:pPr>
            <w:r w:rsidRPr="0037550F">
              <w:rPr>
                <w:rFonts w:asciiTheme="minorBidi" w:hAnsiTheme="minorBidi" w:cstheme="minorBidi"/>
                <w:sz w:val="18"/>
                <w:szCs w:val="18"/>
                <w:rtl/>
              </w:rPr>
              <w:t>52.8</w:t>
            </w:r>
          </w:p>
        </w:tc>
        <w:tc>
          <w:tcPr>
            <w:tcW w:w="1701" w:type="dxa"/>
            <w:tcBorders>
              <w:top w:val="nil"/>
              <w:left w:val="nil"/>
              <w:bottom w:val="single" w:sz="4" w:space="0" w:color="auto"/>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12.5</w:t>
            </w:r>
          </w:p>
        </w:tc>
        <w:tc>
          <w:tcPr>
            <w:tcW w:w="993" w:type="dxa"/>
            <w:tcBorders>
              <w:top w:val="nil"/>
              <w:left w:val="nil"/>
              <w:bottom w:val="single" w:sz="4" w:space="0" w:color="auto"/>
              <w:right w:val="nil"/>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3.1</w:t>
            </w:r>
          </w:p>
        </w:tc>
        <w:tc>
          <w:tcPr>
            <w:tcW w:w="992" w:type="dxa"/>
            <w:tcBorders>
              <w:top w:val="nil"/>
              <w:left w:val="nil"/>
              <w:bottom w:val="single" w:sz="4" w:space="0" w:color="auto"/>
              <w:right w:val="single" w:sz="4" w:space="0" w:color="auto"/>
            </w:tcBorders>
            <w:vAlign w:val="center"/>
          </w:tcPr>
          <w:p w:rsidR="004C1C05" w:rsidRDefault="004C1C05" w:rsidP="007F4722">
            <w:pPr>
              <w:ind w:firstLineChars="100" w:firstLine="180"/>
              <w:rPr>
                <w:rFonts w:ascii="Arial" w:hAnsi="Arial" w:cs="Arial"/>
                <w:color w:val="000000"/>
                <w:sz w:val="18"/>
                <w:szCs w:val="18"/>
              </w:rPr>
            </w:pPr>
            <w:r>
              <w:rPr>
                <w:rFonts w:ascii="Arial" w:hAnsi="Arial" w:cs="Arial"/>
                <w:color w:val="000000"/>
                <w:sz w:val="18"/>
                <w:szCs w:val="18"/>
                <w:rtl/>
              </w:rPr>
              <w:t>11.5</w:t>
            </w:r>
          </w:p>
        </w:tc>
        <w:tc>
          <w:tcPr>
            <w:tcW w:w="1843" w:type="dxa"/>
            <w:tcBorders>
              <w:top w:val="nil"/>
              <w:left w:val="single" w:sz="4" w:space="0" w:color="auto"/>
              <w:bottom w:val="single" w:sz="4" w:space="0" w:color="auto"/>
              <w:right w:val="single" w:sz="4" w:space="0" w:color="auto"/>
            </w:tcBorders>
            <w:vAlign w:val="center"/>
          </w:tcPr>
          <w:p w:rsidR="004C1C05" w:rsidRPr="00E50371" w:rsidRDefault="004C1C05" w:rsidP="00E50371">
            <w:pPr>
              <w:ind w:firstLineChars="100" w:firstLine="180"/>
              <w:jc w:val="right"/>
              <w:rPr>
                <w:rFonts w:ascii="Arial" w:hAnsi="Arial" w:cs="Arial"/>
                <w:color w:val="000000"/>
                <w:sz w:val="18"/>
                <w:szCs w:val="18"/>
                <w:rtl/>
                <w:lang w:eastAsia="en-US"/>
              </w:rPr>
            </w:pPr>
            <w:r w:rsidRPr="00E50371">
              <w:rPr>
                <w:rFonts w:ascii="Arial" w:hAnsi="Arial" w:cs="Arial"/>
                <w:color w:val="000000"/>
                <w:sz w:val="18"/>
                <w:szCs w:val="18"/>
                <w:lang w:eastAsia="en-US"/>
              </w:rPr>
              <w:t>Bathrooms</w:t>
            </w:r>
          </w:p>
        </w:tc>
      </w:tr>
    </w:tbl>
    <w:p w:rsidR="000A1246" w:rsidRDefault="0016103D" w:rsidP="0016103D">
      <w:pPr>
        <w:bidi w:val="0"/>
        <w:ind w:right="139"/>
        <w:jc w:val="lowKashida"/>
        <w:rPr>
          <w:b/>
          <w:bCs/>
          <w:color w:val="000000"/>
        </w:rPr>
      </w:pPr>
      <w:r w:rsidRPr="00B87282">
        <w:rPr>
          <w:b/>
          <w:bCs/>
          <w:sz w:val="18"/>
          <w:szCs w:val="18"/>
        </w:rPr>
        <w:t>Source: Palestinian Central Bureau of Statistics and Ministry of Social Affairs, 2011</w:t>
      </w:r>
      <w:r w:rsidRPr="00B87282">
        <w:rPr>
          <w:sz w:val="18"/>
          <w:szCs w:val="18"/>
        </w:rPr>
        <w:t xml:space="preserve">.  </w:t>
      </w:r>
      <w:r w:rsidRPr="00B87282">
        <w:rPr>
          <w:i/>
          <w:iCs/>
          <w:sz w:val="18"/>
          <w:szCs w:val="18"/>
        </w:rPr>
        <w:t>Disabled Individuals Survey, 2011, Main Findings Report</w:t>
      </w:r>
      <w:r w:rsidRPr="00044139">
        <w:rPr>
          <w:b/>
          <w:bCs/>
          <w:i/>
          <w:iCs/>
          <w:sz w:val="18"/>
          <w:szCs w:val="18"/>
        </w:rPr>
        <w:t xml:space="preserve">.    </w:t>
      </w:r>
      <w:r w:rsidRPr="00044139">
        <w:rPr>
          <w:b/>
          <w:bCs/>
          <w:sz w:val="18"/>
          <w:szCs w:val="18"/>
        </w:rPr>
        <w:t>Ramallah</w:t>
      </w:r>
      <w:r w:rsidRPr="00044139">
        <w:rPr>
          <w:b/>
          <w:bCs/>
          <w:sz w:val="18"/>
          <w:szCs w:val="18"/>
          <w:rtl/>
          <w:lang w:val="en-AU"/>
        </w:rPr>
        <w:t xml:space="preserve"> - </w:t>
      </w:r>
      <w:r w:rsidRPr="00044139">
        <w:rPr>
          <w:b/>
          <w:bCs/>
          <w:sz w:val="18"/>
          <w:szCs w:val="18"/>
        </w:rPr>
        <w:t>Palestine</w:t>
      </w: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0A1246" w:rsidRDefault="000A1246" w:rsidP="000A1246">
      <w:pPr>
        <w:bidi w:val="0"/>
        <w:ind w:right="7655"/>
        <w:jc w:val="lowKashida"/>
        <w:rPr>
          <w:b/>
          <w:bCs/>
          <w:color w:val="000000"/>
        </w:rPr>
      </w:pPr>
    </w:p>
    <w:p w:rsidR="00F86936" w:rsidRDefault="00F86936" w:rsidP="00F86936">
      <w:pPr>
        <w:bidi w:val="0"/>
        <w:ind w:right="7655"/>
        <w:jc w:val="lowKashida"/>
        <w:rPr>
          <w:b/>
          <w:bCs/>
          <w:color w:val="000000"/>
        </w:rPr>
      </w:pPr>
    </w:p>
    <w:p w:rsidR="00F86936" w:rsidRDefault="00F86936" w:rsidP="00F86936">
      <w:pPr>
        <w:bidi w:val="0"/>
        <w:ind w:right="7655"/>
        <w:jc w:val="lowKashida"/>
        <w:rPr>
          <w:b/>
          <w:bCs/>
          <w:color w:val="000000"/>
        </w:rPr>
      </w:pPr>
    </w:p>
    <w:p w:rsidR="00F86936" w:rsidRDefault="00F86936" w:rsidP="00F86936">
      <w:pPr>
        <w:bidi w:val="0"/>
        <w:ind w:right="7655"/>
        <w:jc w:val="lowKashida"/>
        <w:rPr>
          <w:b/>
          <w:bCs/>
          <w:color w:val="000000"/>
        </w:rPr>
      </w:pPr>
    </w:p>
    <w:p w:rsidR="00F86936" w:rsidRDefault="00F86936" w:rsidP="00F86936">
      <w:pPr>
        <w:bidi w:val="0"/>
        <w:ind w:right="7655"/>
        <w:jc w:val="lowKashida"/>
        <w:rPr>
          <w:b/>
          <w:bCs/>
          <w:color w:val="000000"/>
        </w:rPr>
      </w:pPr>
    </w:p>
    <w:p w:rsidR="00F86936" w:rsidRDefault="00F86936" w:rsidP="00F86936">
      <w:pPr>
        <w:bidi w:val="0"/>
        <w:ind w:right="7655"/>
        <w:jc w:val="lowKashida"/>
        <w:rPr>
          <w:b/>
          <w:bCs/>
          <w:color w:val="000000"/>
        </w:rPr>
      </w:pPr>
    </w:p>
    <w:p w:rsidR="00CC30EB" w:rsidRDefault="00031E25" w:rsidP="000A1246">
      <w:pPr>
        <w:bidi w:val="0"/>
        <w:ind w:right="7655"/>
        <w:jc w:val="lowKashida"/>
        <w:rPr>
          <w:b/>
          <w:bCs/>
          <w:color w:val="000000"/>
        </w:rPr>
      </w:pPr>
      <w:r>
        <w:rPr>
          <w:b/>
          <w:bCs/>
          <w:color w:val="000000"/>
        </w:rPr>
        <w:lastRenderedPageBreak/>
        <w:t xml:space="preserve">References </w:t>
      </w:r>
    </w:p>
    <w:p w:rsidR="00CC30EB" w:rsidRDefault="00CC30EB">
      <w:pPr>
        <w:bidi w:val="0"/>
        <w:ind w:right="70"/>
        <w:jc w:val="lowKashida"/>
        <w:rPr>
          <w:rFonts w:cs="Simplified Arabic"/>
          <w:b/>
          <w:bCs/>
        </w:rPr>
      </w:pPr>
    </w:p>
    <w:p w:rsidR="00CC30EB" w:rsidRDefault="00031E25">
      <w:pPr>
        <w:pBdr>
          <w:bottom w:val="dotted" w:sz="4" w:space="6" w:color="auto"/>
        </w:pBdr>
        <w:bidi w:val="0"/>
        <w:ind w:left="180" w:right="70" w:hanging="180"/>
        <w:jc w:val="lowKashida"/>
        <w:rPr>
          <w:sz w:val="20"/>
          <w:szCs w:val="20"/>
        </w:rPr>
      </w:pPr>
      <w:r>
        <w:rPr>
          <w:rFonts w:cs="Simplified Arabic"/>
          <w:b/>
          <w:bCs/>
        </w:rPr>
        <w:t xml:space="preserve">-  Palestinian Central Bureau of Statistics, 2007. </w:t>
      </w:r>
      <w:r>
        <w:rPr>
          <w:i/>
          <w:iCs/>
        </w:rPr>
        <w:t>Palestinian Family Health Survey</w:t>
      </w:r>
      <w:r>
        <w:t xml:space="preserve">, 2006. Final Report. </w:t>
      </w:r>
      <w:r w:rsidRPr="00044139">
        <w:rPr>
          <w:b/>
          <w:bCs/>
        </w:rPr>
        <w:t>Ramallah – Palestine</w:t>
      </w:r>
      <w:r>
        <w:rPr>
          <w:sz w:val="20"/>
          <w:szCs w:val="20"/>
        </w:rPr>
        <w:t>.</w:t>
      </w:r>
    </w:p>
    <w:p w:rsidR="00437CD3" w:rsidRDefault="00437CD3" w:rsidP="00437CD3">
      <w:pPr>
        <w:bidi w:val="0"/>
        <w:ind w:left="720" w:right="70" w:hanging="720"/>
        <w:jc w:val="lowKashida"/>
      </w:pPr>
    </w:p>
    <w:p w:rsidR="00437CD3" w:rsidRPr="00437CD3" w:rsidRDefault="00437CD3" w:rsidP="0008221D">
      <w:pPr>
        <w:pBdr>
          <w:bottom w:val="dotted" w:sz="4" w:space="6" w:color="auto"/>
        </w:pBdr>
        <w:bidi w:val="0"/>
        <w:ind w:left="180" w:right="70" w:hanging="180"/>
        <w:jc w:val="lowKashida"/>
        <w:rPr>
          <w:rFonts w:cs="Simplified Arabic"/>
          <w:b/>
          <w:bCs/>
        </w:rPr>
      </w:pPr>
      <w:r>
        <w:rPr>
          <w:rFonts w:cs="Simplified Arabic"/>
          <w:b/>
          <w:bCs/>
        </w:rPr>
        <w:t xml:space="preserve">- </w:t>
      </w:r>
      <w:r w:rsidRPr="00437CD3">
        <w:rPr>
          <w:rFonts w:cs="Simplified Arabic"/>
          <w:b/>
          <w:bCs/>
        </w:rPr>
        <w:t xml:space="preserve">Palestinian Central Bureau of Statistics, 2011.  </w:t>
      </w:r>
      <w:r w:rsidRPr="00437CD3">
        <w:rPr>
          <w:rFonts w:cs="Simplified Arabic"/>
        </w:rPr>
        <w:t xml:space="preserve">Palestinian Family Survey 2010,  Main Report.   </w:t>
      </w:r>
      <w:r w:rsidRPr="00437CD3">
        <w:rPr>
          <w:rFonts w:cs="Simplified Arabic"/>
          <w:b/>
          <w:bCs/>
        </w:rPr>
        <w:t>Ramallah</w:t>
      </w:r>
      <w:r w:rsidRPr="00437CD3">
        <w:rPr>
          <w:rFonts w:cs="Simplified Arabic" w:hint="cs"/>
          <w:b/>
          <w:bCs/>
          <w:rtl/>
        </w:rPr>
        <w:t xml:space="preserve">- </w:t>
      </w:r>
      <w:r w:rsidRPr="00437CD3">
        <w:rPr>
          <w:rFonts w:cs="Simplified Arabic"/>
          <w:b/>
          <w:bCs/>
        </w:rPr>
        <w:t xml:space="preserve"> Palestine</w:t>
      </w:r>
    </w:p>
    <w:p w:rsidR="00CC30EB" w:rsidRDefault="00CC30EB">
      <w:pPr>
        <w:bidi w:val="0"/>
        <w:ind w:left="720" w:right="70" w:hanging="720"/>
        <w:jc w:val="lowKashida"/>
      </w:pPr>
    </w:p>
    <w:p w:rsidR="00CC30EB" w:rsidRDefault="00031E25">
      <w:pPr>
        <w:pBdr>
          <w:bottom w:val="dotted" w:sz="4" w:space="1" w:color="auto"/>
        </w:pBdr>
        <w:bidi w:val="0"/>
        <w:ind w:left="180" w:right="70" w:hanging="180"/>
        <w:jc w:val="lowKashida"/>
      </w:pPr>
      <w:r>
        <w:rPr>
          <w:rFonts w:cs="Simplified Arabic"/>
          <w:b/>
          <w:bCs/>
        </w:rPr>
        <w:t xml:space="preserve">- Palestinian Central Bureau of Statistics, 2005. </w:t>
      </w:r>
      <w:r>
        <w:rPr>
          <w:color w:val="000000"/>
        </w:rPr>
        <w:t>Demographic and Health Survey 2004.  Main Findings</w:t>
      </w:r>
      <w:r>
        <w:t xml:space="preserve">.   </w:t>
      </w:r>
      <w:r w:rsidRPr="00044139">
        <w:rPr>
          <w:b/>
          <w:bCs/>
        </w:rPr>
        <w:t>Ramallah – Palestine</w:t>
      </w:r>
      <w:r>
        <w:t>.</w:t>
      </w:r>
    </w:p>
    <w:p w:rsidR="00CC30EB" w:rsidRDefault="00CC30EB">
      <w:pPr>
        <w:bidi w:val="0"/>
        <w:ind w:left="720" w:right="-20" w:hanging="720"/>
        <w:jc w:val="lowKashida"/>
        <w:rPr>
          <w:color w:val="000000"/>
        </w:rPr>
      </w:pPr>
    </w:p>
    <w:p w:rsidR="00CC30EB" w:rsidRDefault="00031E25" w:rsidP="00437CD3">
      <w:pPr>
        <w:numPr>
          <w:ilvl w:val="0"/>
          <w:numId w:val="2"/>
        </w:numPr>
        <w:pBdr>
          <w:bottom w:val="dotted" w:sz="4" w:space="1" w:color="auto"/>
        </w:pBdr>
        <w:tabs>
          <w:tab w:val="clear" w:pos="720"/>
          <w:tab w:val="num" w:pos="180"/>
        </w:tabs>
        <w:bidi w:val="0"/>
        <w:ind w:right="70" w:hanging="720"/>
        <w:jc w:val="lowKashida"/>
      </w:pPr>
      <w:r>
        <w:rPr>
          <w:rFonts w:cs="Simplified Arabic"/>
          <w:b/>
          <w:bCs/>
        </w:rPr>
        <w:t xml:space="preserve">Palestinian Central Bureau of Statistics, </w:t>
      </w:r>
      <w:r w:rsidR="00437CD3">
        <w:rPr>
          <w:rFonts w:cs="Simplified Arabic"/>
          <w:b/>
          <w:bCs/>
        </w:rPr>
        <w:t>2011</w:t>
      </w:r>
      <w:r>
        <w:rPr>
          <w:rFonts w:cs="Simplified Arabic"/>
          <w:b/>
          <w:bCs/>
        </w:rPr>
        <w:t xml:space="preserve">. </w:t>
      </w:r>
      <w:r>
        <w:rPr>
          <w:color w:val="000000"/>
        </w:rPr>
        <w:t xml:space="preserve">Annual Report </w:t>
      </w:r>
      <w:r w:rsidR="00437CD3">
        <w:rPr>
          <w:color w:val="000000"/>
        </w:rPr>
        <w:t>2011</w:t>
      </w:r>
      <w:r>
        <w:rPr>
          <w:color w:val="000000"/>
        </w:rPr>
        <w:t>. Palestine Children –Issues and Statistics.  Child statistics series (No.13)</w:t>
      </w:r>
      <w:r>
        <w:t xml:space="preserve"> .   </w:t>
      </w:r>
      <w:r w:rsidRPr="00044139">
        <w:rPr>
          <w:b/>
          <w:bCs/>
        </w:rPr>
        <w:t>Ramallah – Palestine</w:t>
      </w:r>
      <w:r>
        <w:t>.</w:t>
      </w:r>
    </w:p>
    <w:p w:rsidR="0008221D" w:rsidRPr="0008221D" w:rsidRDefault="0008221D" w:rsidP="0008221D">
      <w:pPr>
        <w:pStyle w:val="ListParagraph"/>
        <w:bidi w:val="0"/>
        <w:ind w:left="284" w:right="720"/>
        <w:rPr>
          <w:i/>
          <w:iCs/>
        </w:rPr>
      </w:pPr>
    </w:p>
    <w:p w:rsidR="0008221D" w:rsidRPr="0008221D" w:rsidRDefault="0008221D" w:rsidP="0008221D">
      <w:pPr>
        <w:pStyle w:val="ListParagraph"/>
        <w:numPr>
          <w:ilvl w:val="0"/>
          <w:numId w:val="2"/>
        </w:numPr>
        <w:tabs>
          <w:tab w:val="clear" w:pos="720"/>
          <w:tab w:val="num" w:pos="284"/>
          <w:tab w:val="right" w:pos="8931"/>
          <w:tab w:val="right" w:pos="9072"/>
        </w:tabs>
        <w:bidi w:val="0"/>
        <w:ind w:left="284" w:right="-2" w:hanging="284"/>
        <w:jc w:val="both"/>
        <w:rPr>
          <w:i/>
          <w:iCs/>
        </w:rPr>
      </w:pPr>
      <w:r w:rsidRPr="0008221D">
        <w:rPr>
          <w:b/>
          <w:bCs/>
        </w:rPr>
        <w:t>Palestinian Central Bureau of Statistics and Ministry of</w:t>
      </w:r>
      <w:r>
        <w:rPr>
          <w:b/>
          <w:bCs/>
        </w:rPr>
        <w:t xml:space="preserve"> </w:t>
      </w:r>
      <w:r w:rsidRPr="0008221D">
        <w:rPr>
          <w:b/>
          <w:bCs/>
        </w:rPr>
        <w:t xml:space="preserve"> Social Affairs, 2011</w:t>
      </w:r>
      <w:r>
        <w:t xml:space="preserve">.  </w:t>
      </w:r>
      <w:r w:rsidRPr="0008221D">
        <w:rPr>
          <w:i/>
          <w:iCs/>
        </w:rPr>
        <w:t>Disabled Individuals Survey, 2011, Main Findings Report</w:t>
      </w:r>
      <w:r w:rsidRPr="00044139">
        <w:rPr>
          <w:b/>
          <w:bCs/>
          <w:i/>
          <w:iCs/>
        </w:rPr>
        <w:t xml:space="preserve">.    </w:t>
      </w:r>
      <w:r w:rsidRPr="00044139">
        <w:rPr>
          <w:b/>
          <w:bCs/>
        </w:rPr>
        <w:t>Ramallah</w:t>
      </w:r>
      <w:r w:rsidRPr="00044139">
        <w:rPr>
          <w:b/>
          <w:bCs/>
          <w:rtl/>
          <w:lang w:val="en-AU"/>
        </w:rPr>
        <w:t xml:space="preserve"> - </w:t>
      </w:r>
      <w:r w:rsidRPr="00044139">
        <w:rPr>
          <w:b/>
          <w:bCs/>
        </w:rPr>
        <w:t>Palestine</w:t>
      </w:r>
      <w:r w:rsidRPr="0008221D">
        <w:rPr>
          <w:rtl/>
          <w:lang w:val="en-AU"/>
        </w:rPr>
        <w:t>.</w:t>
      </w:r>
    </w:p>
    <w:p w:rsidR="0008221D" w:rsidRDefault="0008221D" w:rsidP="0008221D">
      <w:pPr>
        <w:pBdr>
          <w:bottom w:val="dotted" w:sz="4" w:space="1" w:color="auto"/>
        </w:pBdr>
        <w:bidi w:val="0"/>
        <w:ind w:right="720"/>
        <w:jc w:val="lowKashida"/>
      </w:pPr>
    </w:p>
    <w:p w:rsidR="00437CD3" w:rsidRPr="00437CD3" w:rsidRDefault="00437CD3" w:rsidP="00437CD3">
      <w:pPr>
        <w:bidi w:val="0"/>
        <w:ind w:left="720" w:right="720"/>
        <w:jc w:val="lowKashida"/>
      </w:pPr>
    </w:p>
    <w:p w:rsidR="00CC30EB" w:rsidRDefault="00031E25" w:rsidP="00437CD3">
      <w:pPr>
        <w:numPr>
          <w:ilvl w:val="0"/>
          <w:numId w:val="2"/>
        </w:numPr>
        <w:tabs>
          <w:tab w:val="clear" w:pos="720"/>
          <w:tab w:val="num" w:pos="180"/>
        </w:tabs>
        <w:bidi w:val="0"/>
        <w:ind w:right="70" w:hanging="720"/>
        <w:jc w:val="lowKashida"/>
      </w:pPr>
      <w:r>
        <w:rPr>
          <w:b/>
          <w:bCs/>
        </w:rPr>
        <w:t>Ministry of Health</w:t>
      </w:r>
      <w:r>
        <w:t xml:space="preserve">, PHIC, Health Status in Palestine </w:t>
      </w:r>
      <w:r w:rsidR="00437CD3">
        <w:t>2010</w:t>
      </w:r>
      <w:r>
        <w:t xml:space="preserve">, April </w:t>
      </w:r>
      <w:r w:rsidR="00437CD3">
        <w:t>2011</w:t>
      </w:r>
      <w:r>
        <w:t>.</w:t>
      </w:r>
    </w:p>
    <w:p w:rsidR="00CC30EB" w:rsidRDefault="00CC30EB">
      <w:pPr>
        <w:bidi w:val="0"/>
        <w:ind w:right="70"/>
        <w:jc w:val="lowKashida"/>
        <w:rPr>
          <w:color w:val="000000"/>
          <w:sz w:val="20"/>
          <w:szCs w:val="20"/>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CC30EB" w:rsidRDefault="00CC30EB">
      <w:pPr>
        <w:bidi w:val="0"/>
        <w:jc w:val="both"/>
        <w:rPr>
          <w:lang w:val="en-GB"/>
        </w:rPr>
      </w:pPr>
    </w:p>
    <w:p w:rsidR="00031E25" w:rsidRDefault="00031E25">
      <w:pPr>
        <w:bidi w:val="0"/>
        <w:jc w:val="both"/>
        <w:rPr>
          <w:rtl/>
          <w:lang w:val="en-GB"/>
        </w:rPr>
      </w:pPr>
    </w:p>
    <w:sectPr w:rsidR="00031E25" w:rsidSect="00CC30EB">
      <w:headerReference w:type="default" r:id="rId15"/>
      <w:footerReference w:type="even" r:id="rId16"/>
      <w:footerReference w:type="default" r:id="rId17"/>
      <w:pgSz w:w="11906" w:h="16838" w:code="9"/>
      <w:pgMar w:top="357" w:right="1418" w:bottom="720" w:left="1418" w:header="709" w:footer="709" w:gutter="0"/>
      <w:pgNumType w:start="2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B2B" w:rsidRDefault="00822B2B">
      <w:r>
        <w:separator/>
      </w:r>
    </w:p>
  </w:endnote>
  <w:endnote w:type="continuationSeparator" w:id="0">
    <w:p w:rsidR="00822B2B" w:rsidRDefault="00822B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0EB" w:rsidRDefault="00407E8C">
    <w:pPr>
      <w:pStyle w:val="Footer"/>
      <w:framePr w:wrap="around" w:vAnchor="text" w:hAnchor="margin" w:xAlign="center" w:y="1"/>
      <w:rPr>
        <w:rStyle w:val="PageNumber"/>
        <w:rtl/>
      </w:rPr>
    </w:pPr>
    <w:r>
      <w:rPr>
        <w:rStyle w:val="PageNumber"/>
        <w:rtl/>
      </w:rPr>
      <w:fldChar w:fldCharType="begin"/>
    </w:r>
    <w:r w:rsidR="00031E25">
      <w:rPr>
        <w:rStyle w:val="PageNumber"/>
      </w:rPr>
      <w:instrText xml:space="preserve">PAGE  </w:instrText>
    </w:r>
    <w:r>
      <w:rPr>
        <w:rStyle w:val="PageNumber"/>
        <w:rtl/>
      </w:rPr>
      <w:fldChar w:fldCharType="end"/>
    </w:r>
  </w:p>
  <w:p w:rsidR="00CC30EB" w:rsidRDefault="00CC30EB">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0EB" w:rsidRDefault="00407E8C">
    <w:pPr>
      <w:pStyle w:val="Footer"/>
      <w:framePr w:wrap="around" w:vAnchor="text" w:hAnchor="margin" w:xAlign="center" w:y="1"/>
      <w:rPr>
        <w:rStyle w:val="PageNumber"/>
        <w:rtl/>
      </w:rPr>
    </w:pPr>
    <w:r>
      <w:rPr>
        <w:rStyle w:val="PageNumber"/>
        <w:rtl/>
      </w:rPr>
      <w:fldChar w:fldCharType="begin"/>
    </w:r>
    <w:r w:rsidR="00031E25">
      <w:rPr>
        <w:rStyle w:val="PageNumber"/>
      </w:rPr>
      <w:instrText xml:space="preserve">PAGE  </w:instrText>
    </w:r>
    <w:r>
      <w:rPr>
        <w:rStyle w:val="PageNumber"/>
        <w:rtl/>
      </w:rPr>
      <w:fldChar w:fldCharType="separate"/>
    </w:r>
    <w:r w:rsidR="00092BFF">
      <w:rPr>
        <w:rStyle w:val="PageNumber"/>
        <w:noProof/>
        <w:rtl/>
      </w:rPr>
      <w:t>35</w:t>
    </w:r>
    <w:r>
      <w:rPr>
        <w:rStyle w:val="PageNumber"/>
        <w:rtl/>
      </w:rPr>
      <w:fldChar w:fldCharType="end"/>
    </w:r>
  </w:p>
  <w:p w:rsidR="00CC30EB" w:rsidRDefault="00CC30EB">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B2B" w:rsidRDefault="00822B2B">
      <w:r>
        <w:separator/>
      </w:r>
    </w:p>
  </w:footnote>
  <w:footnote w:type="continuationSeparator" w:id="0">
    <w:p w:rsidR="00822B2B" w:rsidRDefault="00822B2B">
      <w:r>
        <w:continuationSeparator/>
      </w:r>
    </w:p>
  </w:footnote>
  <w:footnote w:id="1">
    <w:p w:rsidR="00CC30EB" w:rsidRDefault="00031E25">
      <w:pPr>
        <w:bidi w:val="0"/>
        <w:textAlignment w:val="top"/>
        <w:rPr>
          <w:color w:val="000000"/>
          <w:sz w:val="18"/>
          <w:szCs w:val="18"/>
          <w:lang w:eastAsia="en-US"/>
        </w:rPr>
      </w:pPr>
      <w:r>
        <w:rPr>
          <w:color w:val="000000"/>
          <w:sz w:val="18"/>
          <w:szCs w:val="18"/>
          <w:lang w:eastAsia="en-US"/>
        </w:rPr>
        <w:footnoteRef/>
      </w:r>
      <w:r>
        <w:rPr>
          <w:color w:val="000000"/>
          <w:sz w:val="18"/>
          <w:szCs w:val="18"/>
          <w:lang w:eastAsia="en-US"/>
        </w:rPr>
        <w:t xml:space="preserve">  </w:t>
      </w:r>
      <w:r>
        <w:rPr>
          <w:sz w:val="18"/>
          <w:szCs w:val="18"/>
          <w:lang w:eastAsia="en-US"/>
        </w:rPr>
        <w:t xml:space="preserve"> Children with hemoglobin level less than  11.0 g/dl according to  World Health Organization (WHO). </w:t>
      </w:r>
    </w:p>
    <w:p w:rsidR="00CC30EB" w:rsidRDefault="00CC30EB">
      <w:pPr>
        <w:pStyle w:val="FootnoteText"/>
        <w:bidi w:val="0"/>
        <w:rPr>
          <w:rtl/>
          <w:lang w:val="en-GB"/>
        </w:rPr>
      </w:pPr>
    </w:p>
  </w:footnote>
  <w:footnote w:id="2">
    <w:p w:rsidR="00CC30EB" w:rsidRDefault="00031E25">
      <w:pPr>
        <w:bidi w:val="0"/>
        <w:textAlignment w:val="top"/>
        <w:rPr>
          <w:color w:val="000000"/>
          <w:sz w:val="18"/>
          <w:szCs w:val="18"/>
          <w:lang w:eastAsia="en-US"/>
        </w:rPr>
      </w:pPr>
      <w:r>
        <w:rPr>
          <w:rStyle w:val="FootnoteReference"/>
        </w:rPr>
        <w:footnoteRef/>
      </w:r>
      <w:r>
        <w:t xml:space="preserve"> </w:t>
      </w:r>
      <w:r>
        <w:rPr>
          <w:sz w:val="18"/>
          <w:szCs w:val="18"/>
          <w:lang w:eastAsia="en-US"/>
        </w:rPr>
        <w:t>Women with hemoglobin level less than  11.0 g/dl according to World Health Organization (WHO).</w:t>
      </w:r>
    </w:p>
    <w:p w:rsidR="00CC30EB" w:rsidRDefault="00CC30EB">
      <w:pPr>
        <w:pStyle w:val="FootnoteText"/>
        <w:bidi w:val="0"/>
        <w:rPr>
          <w:rtl/>
          <w:lang w:val="en-GB"/>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0EB" w:rsidRDefault="00031E25" w:rsidP="00494F7C">
    <w:pPr>
      <w:pStyle w:val="Header"/>
    </w:pPr>
    <w:r>
      <w:rPr>
        <w:b/>
        <w:bCs/>
        <w:sz w:val="20"/>
        <w:szCs w:val="20"/>
      </w:rPr>
      <w:t>PALESTINIAN CHILDREN-ISSUES AND STATISTICS. No (</w:t>
    </w:r>
    <w:r w:rsidR="00494F7C">
      <w:rPr>
        <w:b/>
        <w:bCs/>
        <w:sz w:val="20"/>
        <w:szCs w:val="20"/>
      </w:rPr>
      <w:t>15</w:t>
    </w:r>
    <w:r>
      <w:rPr>
        <w:b/>
        <w:bCs/>
        <w:sz w:val="20"/>
        <w:szCs w:val="20"/>
      </w:rPr>
      <w:t>), 2</w:t>
    </w:r>
    <w:r w:rsidR="00494F7C">
      <w:rPr>
        <w:b/>
        <w:bCs/>
        <w:sz w:val="20"/>
        <w:szCs w:val="20"/>
      </w:rPr>
      <w:t>012</w:t>
    </w:r>
  </w:p>
  <w:p w:rsidR="00CC30EB" w:rsidRDefault="00CC30EB">
    <w:pPr>
      <w:pStyle w:val="Header"/>
      <w:rPr>
        <w:szCs w:val="20"/>
      </w:rPr>
    </w:pPr>
  </w:p>
  <w:p w:rsidR="00CC30EB" w:rsidRDefault="00407E8C">
    <w:pPr>
      <w:pStyle w:val="Header"/>
      <w:rPr>
        <w:rtl/>
        <w:lang w:val="en-GB"/>
      </w:rPr>
    </w:pPr>
    <w:r w:rsidRPr="00407E8C">
      <w:rPr>
        <w:b/>
        <w:bCs/>
        <w:noProof/>
        <w:sz w:val="20"/>
        <w:szCs w:val="20"/>
        <w:rtl/>
      </w:rPr>
      <w:pict>
        <v:line id="_x0000_s2049" style="position:absolute;left:0;text-align:left;z-index:251657728" from="0,-4.45pt" to="459pt,-4.45pt" strokeweight="4.5pt">
          <v:stroke linestyle="thinThick"/>
        </v:line>
      </w:pict>
    </w:r>
  </w:p>
  <w:p w:rsidR="00CC30EB" w:rsidRDefault="00CC30EB">
    <w:pPr>
      <w:pStyle w:val="Header"/>
      <w:rPr>
        <w:rt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A2B37"/>
    <w:multiLevelType w:val="hybridMultilevel"/>
    <w:tmpl w:val="1D1633F0"/>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E350014"/>
    <w:multiLevelType w:val="hybridMultilevel"/>
    <w:tmpl w:val="22C65D96"/>
    <w:lvl w:ilvl="0" w:tplc="04010001">
      <w:numFmt w:val="bullet"/>
      <w:lvlText w:val=""/>
      <w:lvlJc w:val="left"/>
      <w:pPr>
        <w:tabs>
          <w:tab w:val="num" w:pos="720"/>
        </w:tabs>
        <w:ind w:left="720" w:right="720" w:hanging="360"/>
      </w:pPr>
      <w:rPr>
        <w:rFonts w:ascii="Symbol" w:eastAsia="Times New Roman" w:hAnsi="Symbol"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7ABD78AB"/>
    <w:multiLevelType w:val="hybridMultilevel"/>
    <w:tmpl w:val="987EA84E"/>
    <w:lvl w:ilvl="0" w:tplc="A8703B9E">
      <w:start w:val="2"/>
      <w:numFmt w:val="bullet"/>
      <w:lvlText w:val="-"/>
      <w:lvlJc w:val="left"/>
      <w:pPr>
        <w:tabs>
          <w:tab w:val="num" w:pos="720"/>
        </w:tabs>
        <w:ind w:left="720" w:right="720" w:hanging="360"/>
      </w:pPr>
      <w:rPr>
        <w:rFonts w:ascii="Arial" w:eastAsia="Times New Roman" w:hAnsi="Arial" w:cs="Aria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
  <w:rsids>
    <w:rsidRoot w:val="00494F7C"/>
    <w:rsid w:val="00000312"/>
    <w:rsid w:val="000109EE"/>
    <w:rsid w:val="00012A7E"/>
    <w:rsid w:val="00020BC9"/>
    <w:rsid w:val="00031E25"/>
    <w:rsid w:val="00044139"/>
    <w:rsid w:val="00056070"/>
    <w:rsid w:val="00061A3E"/>
    <w:rsid w:val="00077A1C"/>
    <w:rsid w:val="00080CEE"/>
    <w:rsid w:val="0008221D"/>
    <w:rsid w:val="00092BFF"/>
    <w:rsid w:val="000A1246"/>
    <w:rsid w:val="000A283A"/>
    <w:rsid w:val="000C4952"/>
    <w:rsid w:val="000F055E"/>
    <w:rsid w:val="000F24A9"/>
    <w:rsid w:val="0010313A"/>
    <w:rsid w:val="00115FCF"/>
    <w:rsid w:val="00125766"/>
    <w:rsid w:val="001319AA"/>
    <w:rsid w:val="00146102"/>
    <w:rsid w:val="0016103D"/>
    <w:rsid w:val="00175286"/>
    <w:rsid w:val="00186D2D"/>
    <w:rsid w:val="001876E6"/>
    <w:rsid w:val="0019529E"/>
    <w:rsid w:val="001B287E"/>
    <w:rsid w:val="001B3FF1"/>
    <w:rsid w:val="001C398F"/>
    <w:rsid w:val="00202831"/>
    <w:rsid w:val="00207314"/>
    <w:rsid w:val="00232E85"/>
    <w:rsid w:val="002C4D54"/>
    <w:rsid w:val="002D5BCF"/>
    <w:rsid w:val="003371BA"/>
    <w:rsid w:val="0034405D"/>
    <w:rsid w:val="00350D37"/>
    <w:rsid w:val="00356BDF"/>
    <w:rsid w:val="003732DF"/>
    <w:rsid w:val="00380FA3"/>
    <w:rsid w:val="003E3CD9"/>
    <w:rsid w:val="003F5C9D"/>
    <w:rsid w:val="00400819"/>
    <w:rsid w:val="00407E8C"/>
    <w:rsid w:val="00436FC0"/>
    <w:rsid w:val="00437CD3"/>
    <w:rsid w:val="004520B0"/>
    <w:rsid w:val="00487DBD"/>
    <w:rsid w:val="0049384B"/>
    <w:rsid w:val="00494F7C"/>
    <w:rsid w:val="004A1DE5"/>
    <w:rsid w:val="004A5323"/>
    <w:rsid w:val="004C1C05"/>
    <w:rsid w:val="004C4505"/>
    <w:rsid w:val="004D44D0"/>
    <w:rsid w:val="005218A1"/>
    <w:rsid w:val="00526761"/>
    <w:rsid w:val="005503E2"/>
    <w:rsid w:val="00561C2C"/>
    <w:rsid w:val="005A1858"/>
    <w:rsid w:val="005A4D71"/>
    <w:rsid w:val="005B5A8C"/>
    <w:rsid w:val="00635650"/>
    <w:rsid w:val="00667F49"/>
    <w:rsid w:val="00695A81"/>
    <w:rsid w:val="006A5E71"/>
    <w:rsid w:val="006C2647"/>
    <w:rsid w:val="006D5359"/>
    <w:rsid w:val="00717F4D"/>
    <w:rsid w:val="00720488"/>
    <w:rsid w:val="007256FA"/>
    <w:rsid w:val="007540CE"/>
    <w:rsid w:val="0077121E"/>
    <w:rsid w:val="00772406"/>
    <w:rsid w:val="00775F1C"/>
    <w:rsid w:val="00777B9C"/>
    <w:rsid w:val="007A62A6"/>
    <w:rsid w:val="007B2D5E"/>
    <w:rsid w:val="007F4722"/>
    <w:rsid w:val="00802023"/>
    <w:rsid w:val="00815768"/>
    <w:rsid w:val="00822B2B"/>
    <w:rsid w:val="00850650"/>
    <w:rsid w:val="008822F1"/>
    <w:rsid w:val="008C5A79"/>
    <w:rsid w:val="008D3076"/>
    <w:rsid w:val="008E15B5"/>
    <w:rsid w:val="008E18B3"/>
    <w:rsid w:val="008F0622"/>
    <w:rsid w:val="00905D43"/>
    <w:rsid w:val="00907F92"/>
    <w:rsid w:val="00936671"/>
    <w:rsid w:val="00952DE6"/>
    <w:rsid w:val="00972E76"/>
    <w:rsid w:val="00980209"/>
    <w:rsid w:val="00981E7E"/>
    <w:rsid w:val="0098305B"/>
    <w:rsid w:val="009A1ABB"/>
    <w:rsid w:val="009F0611"/>
    <w:rsid w:val="009F5F68"/>
    <w:rsid w:val="00A0485B"/>
    <w:rsid w:val="00A15572"/>
    <w:rsid w:val="00A31D7E"/>
    <w:rsid w:val="00A35543"/>
    <w:rsid w:val="00A43BA8"/>
    <w:rsid w:val="00A45715"/>
    <w:rsid w:val="00A5701E"/>
    <w:rsid w:val="00A6599E"/>
    <w:rsid w:val="00A71D54"/>
    <w:rsid w:val="00AC6A55"/>
    <w:rsid w:val="00AD071C"/>
    <w:rsid w:val="00AD0DF6"/>
    <w:rsid w:val="00AD7FCE"/>
    <w:rsid w:val="00AE4A58"/>
    <w:rsid w:val="00B07EAC"/>
    <w:rsid w:val="00B230D6"/>
    <w:rsid w:val="00B50FCC"/>
    <w:rsid w:val="00B51878"/>
    <w:rsid w:val="00B87282"/>
    <w:rsid w:val="00BA7301"/>
    <w:rsid w:val="00BB1C29"/>
    <w:rsid w:val="00BF3AA2"/>
    <w:rsid w:val="00C23E2A"/>
    <w:rsid w:val="00C84474"/>
    <w:rsid w:val="00CC30EB"/>
    <w:rsid w:val="00CD3F7A"/>
    <w:rsid w:val="00CD797D"/>
    <w:rsid w:val="00CE3586"/>
    <w:rsid w:val="00CF2D2E"/>
    <w:rsid w:val="00D107D5"/>
    <w:rsid w:val="00D86755"/>
    <w:rsid w:val="00E01D2D"/>
    <w:rsid w:val="00E01D54"/>
    <w:rsid w:val="00E14218"/>
    <w:rsid w:val="00E22B60"/>
    <w:rsid w:val="00E50371"/>
    <w:rsid w:val="00E50827"/>
    <w:rsid w:val="00E60083"/>
    <w:rsid w:val="00E70CF0"/>
    <w:rsid w:val="00E95F8C"/>
    <w:rsid w:val="00EE4F88"/>
    <w:rsid w:val="00F0106B"/>
    <w:rsid w:val="00F033F4"/>
    <w:rsid w:val="00F07188"/>
    <w:rsid w:val="00F57A18"/>
    <w:rsid w:val="00F6632F"/>
    <w:rsid w:val="00F67267"/>
    <w:rsid w:val="00F76182"/>
    <w:rsid w:val="00F82B4E"/>
    <w:rsid w:val="00F86936"/>
    <w:rsid w:val="00FC4A6E"/>
    <w:rsid w:val="00FD0F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0EB"/>
    <w:pPr>
      <w:bidi/>
    </w:pPr>
    <w:rPr>
      <w:sz w:val="24"/>
      <w:szCs w:val="24"/>
      <w:lang w:eastAsia="ar-SA"/>
    </w:rPr>
  </w:style>
  <w:style w:type="paragraph" w:styleId="Heading1">
    <w:name w:val="heading 1"/>
    <w:basedOn w:val="Normal"/>
    <w:next w:val="Normal"/>
    <w:qFormat/>
    <w:rsid w:val="00CC30EB"/>
    <w:pPr>
      <w:keepNext/>
      <w:jc w:val="center"/>
      <w:outlineLvl w:val="0"/>
    </w:pPr>
    <w:rPr>
      <w:rFonts w:cs="Simplified Arabic"/>
      <w:b/>
      <w:bCs/>
      <w:sz w:val="20"/>
      <w:szCs w:val="28"/>
      <w:lang w:val="pl-PL" w:eastAsia="en-US"/>
    </w:rPr>
  </w:style>
  <w:style w:type="paragraph" w:styleId="Heading2">
    <w:name w:val="heading 2"/>
    <w:basedOn w:val="Normal"/>
    <w:next w:val="Normal"/>
    <w:qFormat/>
    <w:rsid w:val="00CC30EB"/>
    <w:pPr>
      <w:keepNext/>
      <w:bidi w:val="0"/>
      <w:jc w:val="center"/>
      <w:outlineLvl w:val="1"/>
    </w:pPr>
    <w:rPr>
      <w:b/>
      <w:bCs/>
      <w:color w:val="000000"/>
      <w:sz w:val="22"/>
      <w:szCs w:val="22"/>
    </w:rPr>
  </w:style>
  <w:style w:type="paragraph" w:styleId="Heading3">
    <w:name w:val="heading 3"/>
    <w:basedOn w:val="Normal"/>
    <w:next w:val="Normal"/>
    <w:qFormat/>
    <w:rsid w:val="00CC30EB"/>
    <w:pPr>
      <w:keepNext/>
      <w:ind w:right="360"/>
      <w:jc w:val="both"/>
      <w:outlineLvl w:val="2"/>
    </w:pPr>
    <w:rPr>
      <w:rFonts w:cs="Simplified Arabic"/>
      <w:b/>
      <w:bCs/>
      <w:i/>
      <w:iCs/>
      <w:lang w:val="pl-PL" w:eastAsia="en-US"/>
    </w:rPr>
  </w:style>
  <w:style w:type="paragraph" w:styleId="Heading4">
    <w:name w:val="heading 4"/>
    <w:basedOn w:val="Normal"/>
    <w:next w:val="Normal"/>
    <w:qFormat/>
    <w:rsid w:val="00CC30EB"/>
    <w:pPr>
      <w:keepNext/>
      <w:bidi w:val="0"/>
      <w:jc w:val="center"/>
      <w:outlineLvl w:val="3"/>
    </w:pPr>
    <w:rPr>
      <w:b/>
      <w:bCs/>
      <w:color w:val="000000"/>
    </w:rPr>
  </w:style>
  <w:style w:type="paragraph" w:styleId="Heading5">
    <w:name w:val="heading 5"/>
    <w:basedOn w:val="Normal"/>
    <w:next w:val="Normal"/>
    <w:qFormat/>
    <w:rsid w:val="00CC30EB"/>
    <w:pPr>
      <w:keepNext/>
      <w:jc w:val="both"/>
      <w:outlineLvl w:val="4"/>
    </w:pPr>
    <w:rPr>
      <w:rFonts w:cs="Simplified Arabic"/>
      <w:lang w:eastAsia="en-US"/>
    </w:rPr>
  </w:style>
  <w:style w:type="paragraph" w:styleId="Heading6">
    <w:name w:val="heading 6"/>
    <w:basedOn w:val="Normal"/>
    <w:next w:val="Normal"/>
    <w:qFormat/>
    <w:rsid w:val="00CC30EB"/>
    <w:pPr>
      <w:keepNext/>
      <w:bidi w:val="0"/>
      <w:jc w:val="lowKashida"/>
      <w:outlineLvl w:val="5"/>
    </w:pPr>
    <w:rPr>
      <w:b/>
      <w:bCs/>
      <w:color w:val="000000"/>
      <w:sz w:val="22"/>
      <w:szCs w:val="22"/>
    </w:rPr>
  </w:style>
  <w:style w:type="paragraph" w:styleId="Heading7">
    <w:name w:val="heading 7"/>
    <w:basedOn w:val="Normal"/>
    <w:next w:val="Normal"/>
    <w:qFormat/>
    <w:rsid w:val="00CC30EB"/>
    <w:pPr>
      <w:keepNext/>
      <w:bidi w:val="0"/>
      <w:jc w:val="both"/>
      <w:outlineLvl w:val="6"/>
    </w:pPr>
    <w:rPr>
      <w:b/>
      <w:bCs/>
      <w:color w:val="000000"/>
    </w:rPr>
  </w:style>
  <w:style w:type="paragraph" w:styleId="Heading8">
    <w:name w:val="heading 8"/>
    <w:basedOn w:val="Normal"/>
    <w:next w:val="Normal"/>
    <w:qFormat/>
    <w:rsid w:val="00CC30EB"/>
    <w:pPr>
      <w:keepNext/>
      <w:bidi w:val="0"/>
      <w:jc w:val="lowKashida"/>
      <w:outlineLvl w:val="7"/>
    </w:pPr>
    <w:rPr>
      <w:b/>
      <w:bCs/>
      <w:color w:val="000000"/>
    </w:rPr>
  </w:style>
  <w:style w:type="paragraph" w:styleId="Heading9">
    <w:name w:val="heading 9"/>
    <w:basedOn w:val="Normal"/>
    <w:next w:val="Normal"/>
    <w:qFormat/>
    <w:rsid w:val="00CC30EB"/>
    <w:pPr>
      <w:keepNext/>
      <w:bidi w:val="0"/>
      <w:ind w:left="57" w:right="57"/>
      <w:jc w:val="center"/>
      <w:outlineLvl w:val="8"/>
    </w:pPr>
    <w:rPr>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semiHidden/>
    <w:rsid w:val="00CC30EB"/>
    <w:pPr>
      <w:bidi w:val="0"/>
    </w:pPr>
    <w:rPr>
      <w:color w:val="000000"/>
    </w:rPr>
  </w:style>
  <w:style w:type="paragraph" w:customStyle="1" w:styleId="xl27">
    <w:name w:val="xl27"/>
    <w:basedOn w:val="Normal"/>
    <w:rsid w:val="00CC30EB"/>
    <w:pPr>
      <w:pBdr>
        <w:right w:val="single" w:sz="4" w:space="0" w:color="auto"/>
      </w:pBdr>
      <w:bidi w:val="0"/>
      <w:spacing w:before="100" w:beforeAutospacing="1" w:after="100" w:afterAutospacing="1"/>
    </w:pPr>
    <w:rPr>
      <w:rFonts w:ascii="Arial" w:eastAsia="Arial Unicode MS" w:hAnsi="Arial" w:cs="Arial"/>
      <w:sz w:val="18"/>
      <w:szCs w:val="18"/>
    </w:rPr>
  </w:style>
  <w:style w:type="paragraph" w:styleId="BodyText">
    <w:name w:val="Body Text"/>
    <w:basedOn w:val="Normal"/>
    <w:semiHidden/>
    <w:rsid w:val="00CC30EB"/>
    <w:rPr>
      <w:rFonts w:cs="Simplified Arabic"/>
      <w:b/>
      <w:bCs/>
      <w:i/>
      <w:iCs/>
      <w:sz w:val="20"/>
      <w:szCs w:val="20"/>
      <w:lang w:val="pl-PL" w:eastAsia="en-US"/>
    </w:rPr>
  </w:style>
  <w:style w:type="paragraph" w:styleId="BodyText2">
    <w:name w:val="Body Text 2"/>
    <w:basedOn w:val="Normal"/>
    <w:semiHidden/>
    <w:rsid w:val="00CC30EB"/>
    <w:pPr>
      <w:jc w:val="lowKashida"/>
    </w:pPr>
    <w:rPr>
      <w:rFonts w:cs="Simplified Arabic"/>
      <w:sz w:val="20"/>
      <w:szCs w:val="26"/>
      <w:lang w:val="pl-PL" w:eastAsia="en-US"/>
    </w:rPr>
  </w:style>
  <w:style w:type="paragraph" w:styleId="FootnoteText">
    <w:name w:val="footnote text"/>
    <w:basedOn w:val="Normal"/>
    <w:semiHidden/>
    <w:rsid w:val="00CC30EB"/>
    <w:rPr>
      <w:rFonts w:cs="Traditional Arabic"/>
      <w:sz w:val="20"/>
      <w:szCs w:val="20"/>
      <w:lang w:eastAsia="en-US"/>
    </w:rPr>
  </w:style>
  <w:style w:type="character" w:styleId="FootnoteReference">
    <w:name w:val="footnote reference"/>
    <w:basedOn w:val="DefaultParagraphFont"/>
    <w:semiHidden/>
    <w:rsid w:val="00CC30EB"/>
    <w:rPr>
      <w:vertAlign w:val="superscript"/>
    </w:rPr>
  </w:style>
  <w:style w:type="paragraph" w:styleId="BlockText">
    <w:name w:val="Block Text"/>
    <w:basedOn w:val="Normal"/>
    <w:semiHidden/>
    <w:rsid w:val="00CC30EB"/>
    <w:pPr>
      <w:pBdr>
        <w:top w:val="single" w:sz="4" w:space="1" w:color="auto"/>
        <w:left w:val="single" w:sz="4" w:space="4" w:color="auto"/>
        <w:bottom w:val="single" w:sz="4" w:space="1" w:color="auto"/>
        <w:right w:val="single" w:sz="4" w:space="4" w:color="auto"/>
      </w:pBdr>
      <w:shd w:val="pct10" w:color="auto" w:fill="auto"/>
      <w:ind w:left="565" w:right="567"/>
      <w:jc w:val="lowKashida"/>
    </w:pPr>
    <w:rPr>
      <w:rFonts w:cs="Simplified Arabic"/>
      <w:b/>
      <w:bCs/>
      <w:szCs w:val="20"/>
      <w:lang w:val="pl-PL" w:eastAsia="en-US"/>
    </w:rPr>
  </w:style>
  <w:style w:type="paragraph" w:customStyle="1" w:styleId="xl31">
    <w:name w:val="xl31"/>
    <w:basedOn w:val="Normal"/>
    <w:rsid w:val="00CC30EB"/>
    <w:pPr>
      <w:pBdr>
        <w:left w:val="single" w:sz="4" w:space="0" w:color="auto"/>
        <w:bottom w:val="single" w:sz="4" w:space="0" w:color="auto"/>
      </w:pBdr>
      <w:bidi w:val="0"/>
      <w:spacing w:before="100" w:beforeAutospacing="1" w:after="100" w:afterAutospacing="1"/>
      <w:jc w:val="center"/>
      <w:textAlignment w:val="top"/>
    </w:pPr>
    <w:rPr>
      <w:rFonts w:ascii="Arial Unicode MS" w:hAnsi="Arial Unicode MS" w:cs="Arial Unicode MS"/>
      <w:sz w:val="18"/>
      <w:szCs w:val="18"/>
    </w:rPr>
  </w:style>
  <w:style w:type="paragraph" w:styleId="BodyTextIndent">
    <w:name w:val="Body Text Indent"/>
    <w:basedOn w:val="Normal"/>
    <w:semiHidden/>
    <w:rsid w:val="00CC30EB"/>
    <w:pPr>
      <w:bidi w:val="0"/>
      <w:ind w:left="357"/>
      <w:jc w:val="lowKashida"/>
    </w:pPr>
  </w:style>
  <w:style w:type="paragraph" w:styleId="Footer">
    <w:name w:val="footer"/>
    <w:basedOn w:val="Normal"/>
    <w:semiHidden/>
    <w:rsid w:val="00CC30EB"/>
    <w:pPr>
      <w:tabs>
        <w:tab w:val="center" w:pos="4153"/>
        <w:tab w:val="right" w:pos="8306"/>
      </w:tabs>
    </w:pPr>
  </w:style>
  <w:style w:type="character" w:styleId="PageNumber">
    <w:name w:val="page number"/>
    <w:basedOn w:val="DefaultParagraphFont"/>
    <w:semiHidden/>
    <w:rsid w:val="00CC30EB"/>
  </w:style>
  <w:style w:type="paragraph" w:styleId="Header">
    <w:name w:val="header"/>
    <w:basedOn w:val="Normal"/>
    <w:semiHidden/>
    <w:rsid w:val="00CC30EB"/>
    <w:pPr>
      <w:tabs>
        <w:tab w:val="center" w:pos="4153"/>
        <w:tab w:val="right" w:pos="8306"/>
      </w:tabs>
    </w:pPr>
  </w:style>
  <w:style w:type="paragraph" w:styleId="EndnoteText">
    <w:name w:val="endnote text"/>
    <w:basedOn w:val="Normal"/>
    <w:semiHidden/>
    <w:rsid w:val="00CC30EB"/>
    <w:rPr>
      <w:sz w:val="20"/>
      <w:szCs w:val="20"/>
    </w:rPr>
  </w:style>
  <w:style w:type="character" w:styleId="EndnoteReference">
    <w:name w:val="endnote reference"/>
    <w:basedOn w:val="DefaultParagraphFont"/>
    <w:semiHidden/>
    <w:rsid w:val="00CC30EB"/>
    <w:rPr>
      <w:vertAlign w:val="superscript"/>
    </w:rPr>
  </w:style>
  <w:style w:type="paragraph" w:customStyle="1" w:styleId="xl30">
    <w:name w:val="xl30"/>
    <w:basedOn w:val="Normal"/>
    <w:rsid w:val="00CC30EB"/>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b/>
      <w:bCs/>
      <w:sz w:val="22"/>
      <w:szCs w:val="22"/>
    </w:rPr>
  </w:style>
  <w:style w:type="character" w:customStyle="1" w:styleId="longtext">
    <w:name w:val="long_text"/>
    <w:basedOn w:val="DefaultParagraphFont"/>
    <w:rsid w:val="00CC30EB"/>
  </w:style>
  <w:style w:type="character" w:styleId="Hyperlink">
    <w:name w:val="Hyperlink"/>
    <w:basedOn w:val="DefaultParagraphFont"/>
    <w:semiHidden/>
    <w:rsid w:val="00CC30EB"/>
    <w:rPr>
      <w:color w:val="0000FF"/>
      <w:u w:val="single"/>
    </w:rPr>
  </w:style>
  <w:style w:type="character" w:customStyle="1" w:styleId="gt-ft-text1">
    <w:name w:val="gt-ft-text1"/>
    <w:basedOn w:val="DefaultParagraphFont"/>
    <w:rsid w:val="00CC30EB"/>
  </w:style>
  <w:style w:type="paragraph" w:styleId="BalloonText">
    <w:name w:val="Balloon Text"/>
    <w:basedOn w:val="Normal"/>
    <w:link w:val="BalloonTextChar"/>
    <w:uiPriority w:val="99"/>
    <w:semiHidden/>
    <w:unhideWhenUsed/>
    <w:rsid w:val="00494F7C"/>
    <w:rPr>
      <w:rFonts w:ascii="Tahoma" w:hAnsi="Tahoma" w:cs="Tahoma"/>
      <w:sz w:val="16"/>
      <w:szCs w:val="16"/>
    </w:rPr>
  </w:style>
  <w:style w:type="character" w:customStyle="1" w:styleId="BalloonTextChar">
    <w:name w:val="Balloon Text Char"/>
    <w:basedOn w:val="DefaultParagraphFont"/>
    <w:link w:val="BalloonText"/>
    <w:uiPriority w:val="99"/>
    <w:semiHidden/>
    <w:rsid w:val="00494F7C"/>
    <w:rPr>
      <w:rFonts w:ascii="Tahoma" w:hAnsi="Tahoma" w:cs="Tahoma"/>
      <w:sz w:val="16"/>
      <w:szCs w:val="16"/>
      <w:lang w:eastAsia="ar-SA"/>
    </w:rPr>
  </w:style>
  <w:style w:type="paragraph" w:styleId="ListParagraph">
    <w:name w:val="List Paragraph"/>
    <w:basedOn w:val="Normal"/>
    <w:uiPriority w:val="34"/>
    <w:qFormat/>
    <w:rsid w:val="00437CD3"/>
    <w:pPr>
      <w:ind w:left="720"/>
      <w:contextualSpacing/>
    </w:pPr>
  </w:style>
  <w:style w:type="table" w:styleId="TableGrid">
    <w:name w:val="Table Grid"/>
    <w:basedOn w:val="TableNormal"/>
    <w:uiPriority w:val="59"/>
    <w:rsid w:val="00080C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2D5BCF"/>
  </w:style>
</w:styles>
</file>

<file path=word/webSettings.xml><?xml version="1.0" encoding="utf-8"?>
<w:webSettings xmlns:r="http://schemas.openxmlformats.org/officeDocument/2006/relationships" xmlns:w="http://schemas.openxmlformats.org/wordprocessingml/2006/main">
  <w:divs>
    <w:div w:id="520051968">
      <w:bodyDiv w:val="1"/>
      <w:marLeft w:val="0"/>
      <w:marRight w:val="0"/>
      <w:marTop w:val="0"/>
      <w:marBottom w:val="0"/>
      <w:divBdr>
        <w:top w:val="none" w:sz="0" w:space="0" w:color="auto"/>
        <w:left w:val="none" w:sz="0" w:space="0" w:color="auto"/>
        <w:bottom w:val="none" w:sz="0" w:space="0" w:color="auto"/>
        <w:right w:val="none" w:sz="0" w:space="0" w:color="auto"/>
      </w:divBdr>
      <w:divsChild>
        <w:div w:id="695543595">
          <w:marLeft w:val="0"/>
          <w:marRight w:val="0"/>
          <w:marTop w:val="0"/>
          <w:marBottom w:val="0"/>
          <w:divBdr>
            <w:top w:val="none" w:sz="0" w:space="0" w:color="auto"/>
            <w:left w:val="none" w:sz="0" w:space="0" w:color="auto"/>
            <w:bottom w:val="none" w:sz="0" w:space="0" w:color="auto"/>
            <w:right w:val="none" w:sz="0" w:space="0" w:color="auto"/>
          </w:divBdr>
          <w:divsChild>
            <w:div w:id="2043091937">
              <w:marLeft w:val="0"/>
              <w:marRight w:val="0"/>
              <w:marTop w:val="0"/>
              <w:marBottom w:val="0"/>
              <w:divBdr>
                <w:top w:val="none" w:sz="0" w:space="0" w:color="auto"/>
                <w:left w:val="none" w:sz="0" w:space="0" w:color="auto"/>
                <w:bottom w:val="none" w:sz="0" w:space="0" w:color="auto"/>
                <w:right w:val="none" w:sz="0" w:space="0" w:color="auto"/>
              </w:divBdr>
              <w:divsChild>
                <w:div w:id="1928266475">
                  <w:marLeft w:val="0"/>
                  <w:marRight w:val="0"/>
                  <w:marTop w:val="0"/>
                  <w:marBottom w:val="0"/>
                  <w:divBdr>
                    <w:top w:val="none" w:sz="0" w:space="0" w:color="auto"/>
                    <w:left w:val="none" w:sz="0" w:space="0" w:color="auto"/>
                    <w:bottom w:val="none" w:sz="0" w:space="0" w:color="auto"/>
                    <w:right w:val="none" w:sz="0" w:space="0" w:color="auto"/>
                  </w:divBdr>
                  <w:divsChild>
                    <w:div w:id="953905356">
                      <w:marLeft w:val="0"/>
                      <w:marRight w:val="0"/>
                      <w:marTop w:val="0"/>
                      <w:marBottom w:val="0"/>
                      <w:divBdr>
                        <w:top w:val="none" w:sz="0" w:space="0" w:color="auto"/>
                        <w:left w:val="none" w:sz="0" w:space="0" w:color="auto"/>
                        <w:bottom w:val="none" w:sz="0" w:space="0" w:color="auto"/>
                        <w:right w:val="none" w:sz="0" w:space="0" w:color="auto"/>
                      </w:divBdr>
                      <w:divsChild>
                        <w:div w:id="46494473">
                          <w:marLeft w:val="0"/>
                          <w:marRight w:val="0"/>
                          <w:marTop w:val="0"/>
                          <w:marBottom w:val="0"/>
                          <w:divBdr>
                            <w:top w:val="none" w:sz="0" w:space="0" w:color="auto"/>
                            <w:left w:val="none" w:sz="0" w:space="0" w:color="auto"/>
                            <w:bottom w:val="none" w:sz="0" w:space="0" w:color="auto"/>
                            <w:right w:val="none" w:sz="0" w:space="0" w:color="auto"/>
                          </w:divBdr>
                          <w:divsChild>
                            <w:div w:id="469977904">
                              <w:marLeft w:val="0"/>
                              <w:marRight w:val="0"/>
                              <w:marTop w:val="0"/>
                              <w:marBottom w:val="0"/>
                              <w:divBdr>
                                <w:top w:val="none" w:sz="0" w:space="0" w:color="auto"/>
                                <w:left w:val="none" w:sz="0" w:space="0" w:color="auto"/>
                                <w:bottom w:val="none" w:sz="0" w:space="0" w:color="auto"/>
                                <w:right w:val="none" w:sz="0" w:space="0" w:color="auto"/>
                              </w:divBdr>
                              <w:divsChild>
                                <w:div w:id="624697087">
                                  <w:marLeft w:val="0"/>
                                  <w:marRight w:val="0"/>
                                  <w:marTop w:val="0"/>
                                  <w:marBottom w:val="0"/>
                                  <w:divBdr>
                                    <w:top w:val="single" w:sz="6" w:space="0" w:color="F5F5F5"/>
                                    <w:left w:val="single" w:sz="6" w:space="0" w:color="F5F5F5"/>
                                    <w:bottom w:val="single" w:sz="6" w:space="0" w:color="F5F5F5"/>
                                    <w:right w:val="single" w:sz="6" w:space="0" w:color="F5F5F5"/>
                                  </w:divBdr>
                                  <w:divsChild>
                                    <w:div w:id="2242441">
                                      <w:marLeft w:val="0"/>
                                      <w:marRight w:val="0"/>
                                      <w:marTop w:val="0"/>
                                      <w:marBottom w:val="0"/>
                                      <w:divBdr>
                                        <w:top w:val="none" w:sz="0" w:space="0" w:color="auto"/>
                                        <w:left w:val="none" w:sz="0" w:space="0" w:color="auto"/>
                                        <w:bottom w:val="none" w:sz="0" w:space="0" w:color="auto"/>
                                        <w:right w:val="none" w:sz="0" w:space="0" w:color="auto"/>
                                      </w:divBdr>
                                      <w:divsChild>
                                        <w:div w:id="101457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208208">
      <w:bodyDiv w:val="1"/>
      <w:marLeft w:val="0"/>
      <w:marRight w:val="0"/>
      <w:marTop w:val="0"/>
      <w:marBottom w:val="0"/>
      <w:divBdr>
        <w:top w:val="none" w:sz="0" w:space="0" w:color="auto"/>
        <w:left w:val="none" w:sz="0" w:space="0" w:color="auto"/>
        <w:bottom w:val="none" w:sz="0" w:space="0" w:color="auto"/>
        <w:right w:val="none" w:sz="0" w:space="0" w:color="auto"/>
      </w:divBdr>
      <w:divsChild>
        <w:div w:id="764307137">
          <w:marLeft w:val="0"/>
          <w:marRight w:val="0"/>
          <w:marTop w:val="0"/>
          <w:marBottom w:val="0"/>
          <w:divBdr>
            <w:top w:val="none" w:sz="0" w:space="0" w:color="auto"/>
            <w:left w:val="none" w:sz="0" w:space="0" w:color="auto"/>
            <w:bottom w:val="none" w:sz="0" w:space="0" w:color="auto"/>
            <w:right w:val="none" w:sz="0" w:space="0" w:color="auto"/>
          </w:divBdr>
          <w:divsChild>
            <w:div w:id="526914803">
              <w:marLeft w:val="0"/>
              <w:marRight w:val="0"/>
              <w:marTop w:val="0"/>
              <w:marBottom w:val="0"/>
              <w:divBdr>
                <w:top w:val="none" w:sz="0" w:space="0" w:color="auto"/>
                <w:left w:val="none" w:sz="0" w:space="0" w:color="auto"/>
                <w:bottom w:val="none" w:sz="0" w:space="0" w:color="auto"/>
                <w:right w:val="none" w:sz="0" w:space="0" w:color="auto"/>
              </w:divBdr>
              <w:divsChild>
                <w:div w:id="1234465581">
                  <w:marLeft w:val="0"/>
                  <w:marRight w:val="0"/>
                  <w:marTop w:val="0"/>
                  <w:marBottom w:val="0"/>
                  <w:divBdr>
                    <w:top w:val="none" w:sz="0" w:space="0" w:color="auto"/>
                    <w:left w:val="none" w:sz="0" w:space="0" w:color="auto"/>
                    <w:bottom w:val="none" w:sz="0" w:space="0" w:color="auto"/>
                    <w:right w:val="none" w:sz="0" w:space="0" w:color="auto"/>
                  </w:divBdr>
                  <w:divsChild>
                    <w:div w:id="224996677">
                      <w:marLeft w:val="0"/>
                      <w:marRight w:val="0"/>
                      <w:marTop w:val="0"/>
                      <w:marBottom w:val="0"/>
                      <w:divBdr>
                        <w:top w:val="none" w:sz="0" w:space="0" w:color="auto"/>
                        <w:left w:val="none" w:sz="0" w:space="0" w:color="auto"/>
                        <w:bottom w:val="none" w:sz="0" w:space="0" w:color="auto"/>
                        <w:right w:val="none" w:sz="0" w:space="0" w:color="auto"/>
                      </w:divBdr>
                      <w:divsChild>
                        <w:div w:id="1013075013">
                          <w:marLeft w:val="0"/>
                          <w:marRight w:val="0"/>
                          <w:marTop w:val="0"/>
                          <w:marBottom w:val="0"/>
                          <w:divBdr>
                            <w:top w:val="none" w:sz="0" w:space="0" w:color="auto"/>
                            <w:left w:val="none" w:sz="0" w:space="0" w:color="auto"/>
                            <w:bottom w:val="none" w:sz="0" w:space="0" w:color="auto"/>
                            <w:right w:val="none" w:sz="0" w:space="0" w:color="auto"/>
                          </w:divBdr>
                          <w:divsChild>
                            <w:div w:id="2146851911">
                              <w:marLeft w:val="0"/>
                              <w:marRight w:val="0"/>
                              <w:marTop w:val="0"/>
                              <w:marBottom w:val="0"/>
                              <w:divBdr>
                                <w:top w:val="none" w:sz="0" w:space="0" w:color="auto"/>
                                <w:left w:val="none" w:sz="0" w:space="0" w:color="auto"/>
                                <w:bottom w:val="none" w:sz="0" w:space="0" w:color="auto"/>
                                <w:right w:val="none" w:sz="0" w:space="0" w:color="auto"/>
                              </w:divBdr>
                              <w:divsChild>
                                <w:div w:id="554239029">
                                  <w:marLeft w:val="0"/>
                                  <w:marRight w:val="0"/>
                                  <w:marTop w:val="0"/>
                                  <w:marBottom w:val="0"/>
                                  <w:divBdr>
                                    <w:top w:val="single" w:sz="6" w:space="0" w:color="F5F5F5"/>
                                    <w:left w:val="single" w:sz="6" w:space="0" w:color="F5F5F5"/>
                                    <w:bottom w:val="single" w:sz="6" w:space="0" w:color="F5F5F5"/>
                                    <w:right w:val="single" w:sz="6" w:space="0" w:color="F5F5F5"/>
                                  </w:divBdr>
                                  <w:divsChild>
                                    <w:div w:id="1675843454">
                                      <w:marLeft w:val="0"/>
                                      <w:marRight w:val="0"/>
                                      <w:marTop w:val="0"/>
                                      <w:marBottom w:val="0"/>
                                      <w:divBdr>
                                        <w:top w:val="none" w:sz="0" w:space="0" w:color="auto"/>
                                        <w:left w:val="none" w:sz="0" w:space="0" w:color="auto"/>
                                        <w:bottom w:val="none" w:sz="0" w:space="0" w:color="auto"/>
                                        <w:right w:val="none" w:sz="0" w:space="0" w:color="auto"/>
                                      </w:divBdr>
                                      <w:divsChild>
                                        <w:div w:id="17873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5829762">
      <w:bodyDiv w:val="1"/>
      <w:marLeft w:val="0"/>
      <w:marRight w:val="0"/>
      <w:marTop w:val="0"/>
      <w:marBottom w:val="0"/>
      <w:divBdr>
        <w:top w:val="none" w:sz="0" w:space="0" w:color="auto"/>
        <w:left w:val="none" w:sz="0" w:space="0" w:color="auto"/>
        <w:bottom w:val="none" w:sz="0" w:space="0" w:color="auto"/>
        <w:right w:val="none" w:sz="0" w:space="0" w:color="auto"/>
      </w:divBdr>
      <w:divsChild>
        <w:div w:id="2038306418">
          <w:marLeft w:val="0"/>
          <w:marRight w:val="0"/>
          <w:marTop w:val="0"/>
          <w:marBottom w:val="0"/>
          <w:divBdr>
            <w:top w:val="none" w:sz="0" w:space="0" w:color="auto"/>
            <w:left w:val="none" w:sz="0" w:space="0" w:color="auto"/>
            <w:bottom w:val="none" w:sz="0" w:space="0" w:color="auto"/>
            <w:right w:val="none" w:sz="0" w:space="0" w:color="auto"/>
          </w:divBdr>
          <w:divsChild>
            <w:div w:id="197670455">
              <w:marLeft w:val="0"/>
              <w:marRight w:val="0"/>
              <w:marTop w:val="0"/>
              <w:marBottom w:val="0"/>
              <w:divBdr>
                <w:top w:val="none" w:sz="0" w:space="0" w:color="auto"/>
                <w:left w:val="none" w:sz="0" w:space="0" w:color="auto"/>
                <w:bottom w:val="none" w:sz="0" w:space="0" w:color="auto"/>
                <w:right w:val="none" w:sz="0" w:space="0" w:color="auto"/>
              </w:divBdr>
              <w:divsChild>
                <w:div w:id="1494026925">
                  <w:marLeft w:val="0"/>
                  <w:marRight w:val="0"/>
                  <w:marTop w:val="0"/>
                  <w:marBottom w:val="0"/>
                  <w:divBdr>
                    <w:top w:val="none" w:sz="0" w:space="0" w:color="auto"/>
                    <w:left w:val="none" w:sz="0" w:space="0" w:color="auto"/>
                    <w:bottom w:val="none" w:sz="0" w:space="0" w:color="auto"/>
                    <w:right w:val="none" w:sz="0" w:space="0" w:color="auto"/>
                  </w:divBdr>
                  <w:divsChild>
                    <w:div w:id="1617910966">
                      <w:marLeft w:val="0"/>
                      <w:marRight w:val="0"/>
                      <w:marTop w:val="0"/>
                      <w:marBottom w:val="0"/>
                      <w:divBdr>
                        <w:top w:val="none" w:sz="0" w:space="0" w:color="auto"/>
                        <w:left w:val="none" w:sz="0" w:space="0" w:color="auto"/>
                        <w:bottom w:val="none" w:sz="0" w:space="0" w:color="auto"/>
                        <w:right w:val="none" w:sz="0" w:space="0" w:color="auto"/>
                      </w:divBdr>
                      <w:divsChild>
                        <w:div w:id="962274753">
                          <w:marLeft w:val="0"/>
                          <w:marRight w:val="0"/>
                          <w:marTop w:val="0"/>
                          <w:marBottom w:val="0"/>
                          <w:divBdr>
                            <w:top w:val="none" w:sz="0" w:space="0" w:color="auto"/>
                            <w:left w:val="none" w:sz="0" w:space="0" w:color="auto"/>
                            <w:bottom w:val="none" w:sz="0" w:space="0" w:color="auto"/>
                            <w:right w:val="none" w:sz="0" w:space="0" w:color="auto"/>
                          </w:divBdr>
                          <w:divsChild>
                            <w:div w:id="1171792012">
                              <w:marLeft w:val="0"/>
                              <w:marRight w:val="0"/>
                              <w:marTop w:val="0"/>
                              <w:marBottom w:val="0"/>
                              <w:divBdr>
                                <w:top w:val="none" w:sz="0" w:space="0" w:color="auto"/>
                                <w:left w:val="none" w:sz="0" w:space="0" w:color="auto"/>
                                <w:bottom w:val="none" w:sz="0" w:space="0" w:color="auto"/>
                                <w:right w:val="none" w:sz="0" w:space="0" w:color="auto"/>
                              </w:divBdr>
                              <w:divsChild>
                                <w:div w:id="1108619082">
                                  <w:marLeft w:val="0"/>
                                  <w:marRight w:val="0"/>
                                  <w:marTop w:val="0"/>
                                  <w:marBottom w:val="0"/>
                                  <w:divBdr>
                                    <w:top w:val="single" w:sz="6" w:space="0" w:color="F5F5F5"/>
                                    <w:left w:val="single" w:sz="6" w:space="0" w:color="F5F5F5"/>
                                    <w:bottom w:val="single" w:sz="6" w:space="0" w:color="F5F5F5"/>
                                    <w:right w:val="single" w:sz="6" w:space="0" w:color="F5F5F5"/>
                                  </w:divBdr>
                                  <w:divsChild>
                                    <w:div w:id="177697241">
                                      <w:marLeft w:val="0"/>
                                      <w:marRight w:val="0"/>
                                      <w:marTop w:val="0"/>
                                      <w:marBottom w:val="0"/>
                                      <w:divBdr>
                                        <w:top w:val="none" w:sz="0" w:space="0" w:color="auto"/>
                                        <w:left w:val="none" w:sz="0" w:space="0" w:color="auto"/>
                                        <w:bottom w:val="none" w:sz="0" w:space="0" w:color="auto"/>
                                        <w:right w:val="none" w:sz="0" w:space="0" w:color="auto"/>
                                      </w:divBdr>
                                      <w:divsChild>
                                        <w:div w:id="171411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045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67368328958881185"/>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b="0">
                        <a:latin typeface="Arial" pitchFamily="34" charset="0"/>
                        <a:cs typeface="Arial" pitchFamily="34" charset="0"/>
                      </a:rPr>
                      <a:t>7.0</a:t>
                    </a:r>
                  </a:p>
                </c:rich>
              </c:tx>
              <c:dLblPos val="outEnd"/>
            </c:dLbl>
            <c:dLbl>
              <c:idx val="1"/>
              <c:layout/>
              <c:tx>
                <c:rich>
                  <a:bodyPr/>
                  <a:lstStyle/>
                  <a:p>
                    <a:r>
                      <a:rPr lang="ar-SA" sz="900" b="0">
                        <a:latin typeface="Arial" pitchFamily="34" charset="0"/>
                        <a:cs typeface="Arial" pitchFamily="34" charset="0"/>
                      </a:rPr>
                      <a:t>8.3</a:t>
                    </a:r>
                  </a:p>
                </c:rich>
              </c:tx>
            </c:dLbl>
            <c:dLbl>
              <c:idx val="2"/>
              <c:layout/>
              <c:tx>
                <c:rich>
                  <a:bodyPr/>
                  <a:lstStyle/>
                  <a:p>
                    <a:r>
                      <a:rPr lang="en-US" sz="900" b="0">
                        <a:latin typeface="Arial" pitchFamily="34" charset="0"/>
                        <a:cs typeface="Arial" pitchFamily="34" charset="0"/>
                      </a:rPr>
                      <a:t>7.5</a:t>
                    </a:r>
                  </a:p>
                </c:rich>
              </c:tx>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Sheet1!$B$2:$D$2</c:f>
              <c:numCache>
                <c:formatCode>0.0</c:formatCode>
                <c:ptCount val="3"/>
                <c:pt idx="0">
                  <c:v>7</c:v>
                </c:pt>
                <c:pt idx="1">
                  <c:v>8.3000000000000007</c:v>
                </c:pt>
                <c:pt idx="2">
                  <c:v>7.5</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281E-3"/>
                </c:manualLayout>
              </c:layout>
              <c:tx>
                <c:rich>
                  <a:bodyPr/>
                  <a:lstStyle/>
                  <a:p>
                    <a:r>
                      <a:rPr lang="en-US" sz="900" b="0">
                        <a:latin typeface="Arial" pitchFamily="34" charset="0"/>
                        <a:cs typeface="Arial" pitchFamily="34" charset="0"/>
                      </a:rPr>
                      <a:t>8.8</a:t>
                    </a:r>
                  </a:p>
                </c:rich>
              </c:tx>
              <c:dLblPos val="outEnd"/>
              <c:showVal val="1"/>
            </c:dLbl>
            <c:dLbl>
              <c:idx val="1"/>
              <c:layout/>
              <c:tx>
                <c:rich>
                  <a:bodyPr/>
                  <a:lstStyle/>
                  <a:p>
                    <a:r>
                      <a:rPr lang="ar-SA" sz="900" b="0">
                        <a:latin typeface="Arial" pitchFamily="34" charset="0"/>
                        <a:cs typeface="Arial" pitchFamily="34" charset="0"/>
                      </a:rPr>
                      <a:t>11.4</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Sheet1!$B$3:$D$3</c:f>
              <c:numCache>
                <c:formatCode>0.0</c:formatCode>
                <c:ptCount val="3"/>
                <c:pt idx="0">
                  <c:v>8.8000000000000007</c:v>
                </c:pt>
                <c:pt idx="1">
                  <c:v>11.4</c:v>
                </c:pt>
                <c:pt idx="2">
                  <c:v>9.9</c:v>
                </c:pt>
              </c:numCache>
            </c:numRef>
          </c:val>
        </c:ser>
        <c:ser>
          <c:idx val="2"/>
          <c:order val="2"/>
          <c:tx>
            <c:strRef>
              <c:f>Sheet1!$A$4</c:f>
              <c:strCache>
                <c:ptCount val="1"/>
                <c:pt idx="0">
                  <c:v>2006</c:v>
                </c:pt>
              </c:strCache>
            </c:strRef>
          </c:tx>
          <c:dLbls>
            <c:dLbl>
              <c:idx val="0"/>
              <c:layout/>
              <c:tx>
                <c:rich>
                  <a:bodyPr/>
                  <a:lstStyle/>
                  <a:p>
                    <a:r>
                      <a:rPr lang="en-US"/>
                      <a:t>7.9</a:t>
                    </a:r>
                  </a:p>
                </c:rich>
              </c:tx>
              <c:showVal val="1"/>
            </c:dLbl>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Sheet1!$B$4:$D$4</c:f>
              <c:numCache>
                <c:formatCode>0.0</c:formatCode>
                <c:ptCount val="3"/>
                <c:pt idx="0">
                  <c:v>7.9</c:v>
                </c:pt>
                <c:pt idx="1">
                  <c:v>13.2</c:v>
                </c:pt>
                <c:pt idx="2">
                  <c:v>10.200000000000001</c:v>
                </c:pt>
              </c:numCache>
            </c:numRef>
          </c:val>
        </c:ser>
        <c:ser>
          <c:idx val="3"/>
          <c:order val="3"/>
          <c:tx>
            <c:strRef>
              <c:f>Sheet1!$A$5</c:f>
              <c:strCache>
                <c:ptCount val="1"/>
                <c:pt idx="0">
                  <c:v>2010</c:v>
                </c:pt>
              </c:strCache>
            </c:strRef>
          </c:tx>
          <c:dLbls>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Sheet1!$B$5:$D$5</c:f>
              <c:numCache>
                <c:formatCode>0.0</c:formatCode>
                <c:ptCount val="3"/>
                <c:pt idx="0">
                  <c:v>11.3</c:v>
                </c:pt>
                <c:pt idx="1">
                  <c:v>9.9</c:v>
                </c:pt>
                <c:pt idx="2">
                  <c:v>10.6</c:v>
                </c:pt>
              </c:numCache>
            </c:numRef>
          </c:val>
        </c:ser>
        <c:axId val="94096768"/>
        <c:axId val="94099712"/>
      </c:barChart>
      <c:catAx>
        <c:axId val="94096768"/>
        <c:scaling>
          <c:orientation val="minMax"/>
        </c:scaling>
        <c:axPos val="b"/>
        <c:title>
          <c:tx>
            <c:rich>
              <a:bodyPr/>
              <a:lstStyle/>
              <a:p>
                <a:pPr>
                  <a:defRPr/>
                </a:pPr>
                <a:r>
                  <a:rPr lang="en-US"/>
                  <a:t>Region</a:t>
                </a:r>
                <a:endParaRPr lang="ar-SA"/>
              </a:p>
            </c:rich>
          </c:tx>
          <c:layout>
            <c:manualLayout>
              <c:xMode val="edge"/>
              <c:yMode val="edge"/>
              <c:x val="0.51054569274962069"/>
              <c:y val="0.82825504570549369"/>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94099712"/>
        <c:crosses val="autoZero"/>
        <c:auto val="1"/>
        <c:lblAlgn val="ctr"/>
        <c:lblOffset val="100"/>
        <c:tickLblSkip val="1"/>
        <c:tickMarkSkip val="1"/>
      </c:catAx>
      <c:valAx>
        <c:axId val="94099712"/>
        <c:scaling>
          <c:orientation val="minMax"/>
        </c:scaling>
        <c:axPos val="l"/>
        <c:majorGridlines/>
        <c:numFmt formatCode="0.0" sourceLinked="1"/>
        <c:tickLblPos val="nextTo"/>
        <c:spPr>
          <a:ln w="3175">
            <a:solidFill>
              <a:srgbClr val="000000"/>
            </a:solidFill>
            <a:prstDash val="solid"/>
          </a:ln>
        </c:spPr>
        <c:txPr>
          <a:bodyPr rot="0" vert="horz"/>
          <a:lstStyle/>
          <a:p>
            <a:pPr>
              <a:defRPr b="0"/>
            </a:pPr>
            <a:endParaRPr lang="ar-SA"/>
          </a:p>
        </c:txPr>
        <c:crossAx val="94096768"/>
        <c:crosses val="autoZero"/>
        <c:crossBetween val="between"/>
      </c:valAx>
      <c:spPr>
        <a:solidFill>
          <a:srgbClr val="FFFFFF"/>
        </a:solidFill>
        <a:ln w="3175">
          <a:solidFill>
            <a:srgbClr val="C0C0C0"/>
          </a:solidFill>
          <a:prstDash val="solid"/>
        </a:ln>
      </c:spPr>
    </c:plotArea>
    <c:legend>
      <c:legendPos val="r"/>
      <c:layout>
        <c:manualLayout>
          <c:xMode val="edge"/>
          <c:yMode val="edge"/>
          <c:x val="0.32235432628257615"/>
          <c:y val="0.9198802304884387"/>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72732313633210277"/>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b="0">
                        <a:latin typeface="Arial" pitchFamily="34" charset="0"/>
                        <a:cs typeface="Arial" pitchFamily="34" charset="0"/>
                      </a:rPr>
                      <a:t>2.6</a:t>
                    </a:r>
                  </a:p>
                </c:rich>
              </c:tx>
              <c:dLblPos val="outEnd"/>
            </c:dLbl>
            <c:dLbl>
              <c:idx val="1"/>
              <c:layout/>
              <c:tx>
                <c:rich>
                  <a:bodyPr/>
                  <a:lstStyle/>
                  <a:p>
                    <a:r>
                      <a:rPr lang="ar-SA" sz="900" b="0">
                        <a:latin typeface="Arial" pitchFamily="34" charset="0"/>
                        <a:cs typeface="Arial" pitchFamily="34" charset="0"/>
                      </a:rPr>
                      <a:t>2.4</a:t>
                    </a:r>
                  </a:p>
                </c:rich>
              </c:tx>
            </c:dLbl>
            <c:dLbl>
              <c:idx val="2"/>
              <c:layout/>
              <c:tx>
                <c:rich>
                  <a:bodyPr/>
                  <a:lstStyle/>
                  <a:p>
                    <a:r>
                      <a:rPr lang="en-US" sz="900" b="0">
                        <a:latin typeface="Arial" pitchFamily="34" charset="0"/>
                        <a:cs typeface="Arial" pitchFamily="34" charset="0"/>
                      </a:rPr>
                      <a:t>2.5</a:t>
                    </a:r>
                  </a:p>
                </c:rich>
              </c:tx>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Sheet1!$B$2:$D$2</c:f>
              <c:numCache>
                <c:formatCode>0.0</c:formatCode>
                <c:ptCount val="3"/>
                <c:pt idx="0" formatCode="General">
                  <c:v>2.6</c:v>
                </c:pt>
                <c:pt idx="1">
                  <c:v>2.4</c:v>
                </c:pt>
                <c:pt idx="2" formatCode="General">
                  <c:v>2.5</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247E-3"/>
                </c:manualLayout>
              </c:layout>
              <c:tx>
                <c:rich>
                  <a:bodyPr/>
                  <a:lstStyle/>
                  <a:p>
                    <a:r>
                      <a:rPr lang="en-US" sz="900" b="0">
                        <a:latin typeface="Arial" pitchFamily="34" charset="0"/>
                        <a:cs typeface="Arial" pitchFamily="34" charset="0"/>
                      </a:rPr>
                      <a:t>4.8</a:t>
                    </a:r>
                  </a:p>
                </c:rich>
              </c:tx>
              <c:dLblPos val="outEnd"/>
              <c:showVal val="1"/>
            </c:dLbl>
            <c:dLbl>
              <c:idx val="1"/>
              <c:layout/>
              <c:tx>
                <c:rich>
                  <a:bodyPr/>
                  <a:lstStyle/>
                  <a:p>
                    <a:r>
                      <a:rPr lang="ar-SA" sz="900" b="0">
                        <a:latin typeface="Arial" pitchFamily="34" charset="0"/>
                        <a:cs typeface="Arial" pitchFamily="34" charset="0"/>
                      </a:rPr>
                      <a:t>4.9</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Sheet1!$B$3:$D$3</c:f>
              <c:numCache>
                <c:formatCode>General</c:formatCode>
                <c:ptCount val="3"/>
                <c:pt idx="0">
                  <c:v>4.8</c:v>
                </c:pt>
                <c:pt idx="1">
                  <c:v>4.9000000000000004</c:v>
                </c:pt>
                <c:pt idx="2">
                  <c:v>4.9000000000000004</c:v>
                </c:pt>
              </c:numCache>
            </c:numRef>
          </c:val>
        </c:ser>
        <c:ser>
          <c:idx val="2"/>
          <c:order val="2"/>
          <c:tx>
            <c:strRef>
              <c:f>Sheet1!$A$4</c:f>
              <c:strCache>
                <c:ptCount val="1"/>
                <c:pt idx="0">
                  <c:v>2006</c:v>
                </c:pt>
              </c:strCache>
            </c:strRef>
          </c:tx>
          <c:dLbls>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Sheet1!$B$4:$D$4</c:f>
              <c:numCache>
                <c:formatCode>General</c:formatCode>
                <c:ptCount val="3"/>
                <c:pt idx="0">
                  <c:v>3.2</c:v>
                </c:pt>
                <c:pt idx="1">
                  <c:v>2.4</c:v>
                </c:pt>
                <c:pt idx="2">
                  <c:v>2.9</c:v>
                </c:pt>
              </c:numCache>
            </c:numRef>
          </c:val>
        </c:ser>
        <c:ser>
          <c:idx val="3"/>
          <c:order val="3"/>
          <c:tx>
            <c:strRef>
              <c:f>Sheet1!$A$5</c:f>
              <c:strCache>
                <c:ptCount val="1"/>
                <c:pt idx="0">
                  <c:v>2010</c:v>
                </c:pt>
              </c:strCache>
            </c:strRef>
          </c:tx>
          <c:dLbls>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Sheet1!$B$5:$D$5</c:f>
              <c:numCache>
                <c:formatCode>General</c:formatCode>
                <c:ptCount val="3"/>
                <c:pt idx="0">
                  <c:v>3.8</c:v>
                </c:pt>
                <c:pt idx="1">
                  <c:v>3.5</c:v>
                </c:pt>
                <c:pt idx="2">
                  <c:v>3.7</c:v>
                </c:pt>
              </c:numCache>
            </c:numRef>
          </c:val>
        </c:ser>
        <c:axId val="117569024"/>
        <c:axId val="117570944"/>
      </c:barChart>
      <c:catAx>
        <c:axId val="117569024"/>
        <c:scaling>
          <c:orientation val="minMax"/>
        </c:scaling>
        <c:axPos val="b"/>
        <c:title>
          <c:tx>
            <c:rich>
              <a:bodyPr/>
              <a:lstStyle/>
              <a:p>
                <a:pPr>
                  <a:defRPr/>
                </a:pPr>
                <a:r>
                  <a:rPr lang="en-US"/>
                  <a:t>Region</a:t>
                </a:r>
                <a:endParaRPr lang="ar-SA"/>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117570944"/>
        <c:crosses val="autoZero"/>
        <c:auto val="1"/>
        <c:lblAlgn val="ctr"/>
        <c:lblOffset val="100"/>
        <c:tickLblSkip val="1"/>
        <c:tickMarkSkip val="1"/>
      </c:catAx>
      <c:valAx>
        <c:axId val="117570944"/>
        <c:scaling>
          <c:orientation val="minMax"/>
        </c:scaling>
        <c:axPos val="l"/>
        <c:majorGridlines/>
        <c:numFmt formatCode="General" sourceLinked="1"/>
        <c:tickLblPos val="nextTo"/>
        <c:spPr>
          <a:ln w="3175">
            <a:solidFill>
              <a:srgbClr val="000000"/>
            </a:solidFill>
            <a:prstDash val="solid"/>
          </a:ln>
        </c:spPr>
        <c:txPr>
          <a:bodyPr rot="0" vert="horz"/>
          <a:lstStyle/>
          <a:p>
            <a:pPr>
              <a:defRPr b="0"/>
            </a:pPr>
            <a:endParaRPr lang="ar-SA"/>
          </a:p>
        </c:txPr>
        <c:crossAx val="117569024"/>
        <c:crosses val="autoZero"/>
        <c:crossBetween val="between"/>
      </c:valAx>
      <c:spPr>
        <a:solidFill>
          <a:srgbClr val="FFFFFF"/>
        </a:solidFill>
        <a:ln w="3175">
          <a:solidFill>
            <a:srgbClr val="C0C0C0"/>
          </a:solidFill>
          <a:prstDash val="solid"/>
        </a:ln>
      </c:spPr>
    </c:plotArea>
    <c:legend>
      <c:legendPos val="r"/>
      <c:layout>
        <c:manualLayout>
          <c:xMode val="edge"/>
          <c:yMode val="edge"/>
          <c:x val="0.30436669278061018"/>
          <c:y val="3.8654176848583591E-2"/>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18.2</a:t>
                    </a:r>
                  </a:p>
                </c:rich>
              </c:tx>
              <c:dLblPos val="outEnd"/>
            </c:dLbl>
            <c:dLbl>
              <c:idx val="1"/>
              <c:layout/>
              <c:tx>
                <c:rich>
                  <a:bodyPr/>
                  <a:lstStyle/>
                  <a:p>
                    <a:r>
                      <a:rPr lang="ar-SA" sz="900">
                        <a:latin typeface="Arial" pitchFamily="34" charset="0"/>
                        <a:cs typeface="Arial" pitchFamily="34" charset="0"/>
                      </a:rPr>
                      <a:t>22.4</a:t>
                    </a:r>
                  </a:p>
                </c:rich>
              </c:tx>
            </c:dLbl>
            <c:dLbl>
              <c:idx val="2"/>
              <c:layout/>
              <c:tx>
                <c:rich>
                  <a:bodyPr/>
                  <a:lstStyle/>
                  <a:p>
                    <a:r>
                      <a:rPr lang="en-US" sz="900">
                        <a:latin typeface="Arial" pitchFamily="34" charset="0"/>
                        <a:cs typeface="Arial" pitchFamily="34" charset="0"/>
                      </a:rPr>
                      <a:t>20.0</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Palestinian Territory</c:v>
                </c:pt>
              </c:strCache>
            </c:strRef>
          </c:cat>
          <c:val>
            <c:numRef>
              <c:f>Sheet1!$B$2:$D$2</c:f>
              <c:numCache>
                <c:formatCode>0.0</c:formatCode>
                <c:ptCount val="3"/>
                <c:pt idx="0" formatCode="General">
                  <c:v>18.2</c:v>
                </c:pt>
                <c:pt idx="1">
                  <c:v>22.4</c:v>
                </c:pt>
                <c:pt idx="2" formatCode="General">
                  <c:v>20.6</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229E-3"/>
                </c:manualLayout>
              </c:layout>
              <c:dLblPos val="outEnd"/>
              <c:showVal val="1"/>
            </c:dLbl>
            <c:dLbl>
              <c:idx val="1"/>
              <c:layout/>
              <c:tx>
                <c:rich>
                  <a:bodyPr/>
                  <a:lstStyle/>
                  <a:p>
                    <a:r>
                      <a:rPr lang="ar-SA" sz="900">
                        <a:latin typeface="Arial" pitchFamily="34" charset="0"/>
                        <a:cs typeface="Arial" pitchFamily="34" charset="0"/>
                      </a:rPr>
                      <a:t>30.7</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Palestinian Territory</c:v>
                </c:pt>
              </c:strCache>
            </c:strRef>
          </c:cat>
          <c:val>
            <c:numRef>
              <c:f>Sheet1!$B$3:$D$3</c:f>
              <c:numCache>
                <c:formatCode>General</c:formatCode>
                <c:ptCount val="3"/>
                <c:pt idx="0">
                  <c:v>25.5</c:v>
                </c:pt>
                <c:pt idx="1">
                  <c:v>30.7</c:v>
                </c:pt>
                <c:pt idx="2">
                  <c:v>27.6</c:v>
                </c:pt>
              </c:numCache>
            </c:numRef>
          </c:val>
        </c:ser>
        <c:axId val="121348480"/>
        <c:axId val="121350400"/>
      </c:barChart>
      <c:catAx>
        <c:axId val="121348480"/>
        <c:scaling>
          <c:orientation val="minMax"/>
        </c:scaling>
        <c:axPos val="b"/>
        <c:title>
          <c:tx>
            <c:rich>
              <a:bodyPr/>
              <a:lstStyle/>
              <a:p>
                <a:pPr>
                  <a:defRPr sz="900" b="1" i="0" u="none" strike="noStrike" baseline="0">
                    <a:solidFill>
                      <a:srgbClr val="000000"/>
                    </a:solidFill>
                    <a:latin typeface="Simplified Arabic"/>
                    <a:ea typeface="Simplified Arabic"/>
                    <a:cs typeface="+mn-cs"/>
                  </a:defRPr>
                </a:pPr>
                <a:r>
                  <a:rPr lang="en-US">
                    <a:latin typeface="Arial" pitchFamily="34" charset="0"/>
                    <a:cs typeface="Arial" pitchFamily="34" charset="0"/>
                  </a:rPr>
                  <a:t>Region</a:t>
                </a:r>
                <a:endParaRPr lang="ar-SA">
                  <a:latin typeface="Arial" pitchFamily="34" charset="0"/>
                  <a:cs typeface="Arial" pitchFamily="34" charset="0"/>
                </a:endParaRP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21350400"/>
        <c:crosses val="autoZero"/>
        <c:auto val="1"/>
        <c:lblAlgn val="ctr"/>
        <c:lblOffset val="100"/>
        <c:tickLblSkip val="1"/>
        <c:tickMarkSkip val="1"/>
      </c:catAx>
      <c:valAx>
        <c:axId val="121350400"/>
        <c:scaling>
          <c:orientation val="minMax"/>
        </c:scaling>
        <c:axPos val="l"/>
        <c:majorGridlines/>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121348480"/>
        <c:crosses val="autoZero"/>
        <c:crossBetween val="between"/>
      </c:valAx>
      <c:spPr>
        <a:solidFill>
          <a:srgbClr val="FFFFFF"/>
        </a:solidFill>
        <a:ln w="3175">
          <a:solidFill>
            <a:srgbClr val="C0C0C0"/>
          </a:solidFill>
          <a:prstDash val="solid"/>
        </a:ln>
      </c:spPr>
    </c:plotArea>
    <c:legend>
      <c:legendPos val="r"/>
      <c:legendEntry>
        <c:idx val="0"/>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Entry>
      <c:layout>
        <c:manualLayout>
          <c:xMode val="edge"/>
          <c:yMode val="edge"/>
          <c:x val="0.31560891938251379"/>
          <c:y val="1.183431952662722E-2"/>
          <c:w val="0.21524328008746693"/>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Times New Roman"/>
              <a:ea typeface="Times New Roman"/>
              <a:cs typeface="+mn-cs"/>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22.2</a:t>
                    </a:r>
                  </a:p>
                </c:rich>
              </c:tx>
              <c:dLblPos val="outEnd"/>
            </c:dLbl>
            <c:dLbl>
              <c:idx val="1"/>
              <c:layout/>
              <c:tx>
                <c:rich>
                  <a:bodyPr/>
                  <a:lstStyle/>
                  <a:p>
                    <a:r>
                      <a:rPr lang="ar-SA" sz="900">
                        <a:latin typeface="Arial" pitchFamily="34" charset="0"/>
                        <a:cs typeface="Arial" pitchFamily="34" charset="0"/>
                      </a:rPr>
                      <a:t>27.2</a:t>
                    </a:r>
                  </a:p>
                </c:rich>
              </c:tx>
            </c:dLbl>
            <c:dLbl>
              <c:idx val="2"/>
              <c:layout/>
              <c:tx>
                <c:rich>
                  <a:bodyPr/>
                  <a:lstStyle/>
                  <a:p>
                    <a:r>
                      <a:rPr lang="en-US" sz="900">
                        <a:latin typeface="Arial" pitchFamily="34" charset="0"/>
                        <a:cs typeface="Arial" pitchFamily="34" charset="0"/>
                      </a:rPr>
                      <a:t>24.1</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Palestinian Territory</c:v>
                </c:pt>
              </c:strCache>
            </c:strRef>
          </c:cat>
          <c:val>
            <c:numRef>
              <c:f>Sheet1!$B$2:$D$2</c:f>
              <c:numCache>
                <c:formatCode>0.0</c:formatCode>
                <c:ptCount val="3"/>
                <c:pt idx="0" formatCode="General">
                  <c:v>22.1</c:v>
                </c:pt>
                <c:pt idx="1">
                  <c:v>29.2</c:v>
                </c:pt>
                <c:pt idx="2" formatCode="General">
                  <c:v>25.1</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247E-3"/>
                </c:manualLayout>
              </c:layout>
              <c:dLblPos val="outEnd"/>
              <c:showVal val="1"/>
            </c:dLbl>
            <c:dLbl>
              <c:idx val="1"/>
              <c:layout/>
              <c:tx>
                <c:rich>
                  <a:bodyPr/>
                  <a:lstStyle/>
                  <a:p>
                    <a:r>
                      <a:rPr lang="ar-SA" sz="900">
                        <a:latin typeface="Arial" pitchFamily="34" charset="0"/>
                        <a:cs typeface="Arial" pitchFamily="34" charset="0"/>
                      </a:rPr>
                      <a:t>34.9</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Palestinian Territory</c:v>
                </c:pt>
              </c:strCache>
            </c:strRef>
          </c:cat>
          <c:val>
            <c:numRef>
              <c:f>Sheet1!$B$3:$D$3</c:f>
              <c:numCache>
                <c:formatCode>General</c:formatCode>
                <c:ptCount val="3"/>
                <c:pt idx="0">
                  <c:v>29.5</c:v>
                </c:pt>
                <c:pt idx="1">
                  <c:v>34.9</c:v>
                </c:pt>
                <c:pt idx="2">
                  <c:v>31.6</c:v>
                </c:pt>
              </c:numCache>
            </c:numRef>
          </c:val>
        </c:ser>
        <c:axId val="122006912"/>
        <c:axId val="122025472"/>
      </c:barChart>
      <c:catAx>
        <c:axId val="122006912"/>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Region</a:t>
                </a:r>
                <a:endParaRPr lang="ar-SA">
                  <a:latin typeface="Arial" pitchFamily="34" charset="0"/>
                  <a:cs typeface="Arial" pitchFamily="34" charset="0"/>
                </a:endParaRP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22025472"/>
        <c:crosses val="autoZero"/>
        <c:auto val="1"/>
        <c:lblAlgn val="ctr"/>
        <c:lblOffset val="100"/>
        <c:tickLblSkip val="1"/>
        <c:tickMarkSkip val="1"/>
      </c:catAx>
      <c:valAx>
        <c:axId val="122025472"/>
        <c:scaling>
          <c:orientation val="minMax"/>
        </c:scaling>
        <c:axPos val="l"/>
        <c:majorGridlines/>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122006912"/>
        <c:crosses val="autoZero"/>
        <c:crossBetween val="between"/>
      </c:valAx>
      <c:spPr>
        <a:solidFill>
          <a:srgbClr val="FFFFFF"/>
        </a:solidFill>
        <a:ln w="3175">
          <a:solidFill>
            <a:srgbClr val="C0C0C0"/>
          </a:solidFill>
          <a:prstDash val="solid"/>
        </a:ln>
      </c:spPr>
    </c:plotArea>
    <c:legend>
      <c:legendPos val="r"/>
      <c:layout>
        <c:manualLayout>
          <c:xMode val="edge"/>
          <c:yMode val="edge"/>
          <c:x val="0.31560891938251406"/>
          <c:y val="1.183431952662722E-2"/>
          <c:w val="0.2152432800874671"/>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368328958881218"/>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b="0">
                        <a:latin typeface="Arial" pitchFamily="34" charset="0"/>
                        <a:cs typeface="Arial" pitchFamily="34" charset="0"/>
                      </a:rPr>
                      <a:t>92.3</a:t>
                    </a:r>
                  </a:p>
                </c:rich>
              </c:tx>
              <c:dLblPos val="outEnd"/>
            </c:dLbl>
            <c:dLbl>
              <c:idx val="1"/>
              <c:layout/>
              <c:tx>
                <c:rich>
                  <a:bodyPr/>
                  <a:lstStyle/>
                  <a:p>
                    <a:r>
                      <a:rPr lang="ar-SA" sz="900" b="0">
                        <a:latin typeface="Arial" pitchFamily="34" charset="0"/>
                        <a:cs typeface="Arial" pitchFamily="34" charset="0"/>
                      </a:rPr>
                      <a:t>99.2</a:t>
                    </a:r>
                  </a:p>
                </c:rich>
              </c:tx>
            </c:dLbl>
            <c:dLbl>
              <c:idx val="2"/>
              <c:layout/>
              <c:tx>
                <c:rich>
                  <a:bodyPr/>
                  <a:lstStyle/>
                  <a:p>
                    <a:r>
                      <a:rPr lang="en-US" sz="900" b="0">
                        <a:latin typeface="Arial" pitchFamily="34" charset="0"/>
                        <a:cs typeface="Arial" pitchFamily="34" charset="0"/>
                      </a:rPr>
                      <a:t>94.8</a:t>
                    </a:r>
                  </a:p>
                </c:rich>
              </c:tx>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Sheet1!$B$2:$D$2</c:f>
              <c:numCache>
                <c:formatCode>0.0</c:formatCode>
                <c:ptCount val="3"/>
                <c:pt idx="0">
                  <c:v>92.3</c:v>
                </c:pt>
                <c:pt idx="1">
                  <c:v>99.2</c:v>
                </c:pt>
                <c:pt idx="2">
                  <c:v>94.8</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281E-3"/>
                </c:manualLayout>
              </c:layout>
              <c:tx>
                <c:rich>
                  <a:bodyPr/>
                  <a:lstStyle/>
                  <a:p>
                    <a:r>
                      <a:rPr lang="en-US" sz="900" b="0">
                        <a:latin typeface="Arial" pitchFamily="34" charset="0"/>
                        <a:cs typeface="Arial" pitchFamily="34" charset="0"/>
                      </a:rPr>
                      <a:t>94.3</a:t>
                    </a:r>
                  </a:p>
                </c:rich>
              </c:tx>
              <c:dLblPos val="outEnd"/>
              <c:showVal val="1"/>
            </c:dLbl>
            <c:dLbl>
              <c:idx val="1"/>
              <c:layout/>
              <c:tx>
                <c:rich>
                  <a:bodyPr/>
                  <a:lstStyle/>
                  <a:p>
                    <a:r>
                      <a:rPr lang="ar-SA" sz="900" b="0">
                        <a:latin typeface="Arial" pitchFamily="34" charset="0"/>
                        <a:cs typeface="Arial" pitchFamily="34" charset="0"/>
                      </a:rPr>
                      <a:t>99.1</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Sheet1!$B$3:$D$3</c:f>
              <c:numCache>
                <c:formatCode>0.0</c:formatCode>
                <c:ptCount val="3"/>
                <c:pt idx="0">
                  <c:v>94.3</c:v>
                </c:pt>
                <c:pt idx="1">
                  <c:v>99.1</c:v>
                </c:pt>
                <c:pt idx="2">
                  <c:v>96.4</c:v>
                </c:pt>
              </c:numCache>
            </c:numRef>
          </c:val>
        </c:ser>
        <c:ser>
          <c:idx val="2"/>
          <c:order val="2"/>
          <c:tx>
            <c:strRef>
              <c:f>Sheet1!$A$4</c:f>
              <c:strCache>
                <c:ptCount val="1"/>
                <c:pt idx="0">
                  <c:v>2006</c:v>
                </c:pt>
              </c:strCache>
            </c:strRef>
          </c:tx>
          <c:dLbls>
            <c:dLbl>
              <c:idx val="0"/>
              <c:layout/>
              <c:tx>
                <c:rich>
                  <a:bodyPr/>
                  <a:lstStyle/>
                  <a:p>
                    <a:r>
                      <a:rPr lang="en-US"/>
                      <a:t>95.2</a:t>
                    </a:r>
                  </a:p>
                </c:rich>
              </c:tx>
              <c:showVal val="1"/>
            </c:dLbl>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Sheet1!$B$4:$D$4</c:f>
              <c:numCache>
                <c:formatCode>0.0</c:formatCode>
                <c:ptCount val="3"/>
                <c:pt idx="0">
                  <c:v>95.2</c:v>
                </c:pt>
                <c:pt idx="1">
                  <c:v>98.9</c:v>
                </c:pt>
                <c:pt idx="2">
                  <c:v>96.6</c:v>
                </c:pt>
              </c:numCache>
            </c:numRef>
          </c:val>
        </c:ser>
        <c:ser>
          <c:idx val="3"/>
          <c:order val="3"/>
          <c:tx>
            <c:strRef>
              <c:f>Sheet1!$A$5</c:f>
              <c:strCache>
                <c:ptCount val="1"/>
                <c:pt idx="0">
                  <c:v>2010</c:v>
                </c:pt>
              </c:strCache>
            </c:strRef>
          </c:tx>
          <c:dLbls>
            <c:txPr>
              <a:bodyPr/>
              <a:lstStyle/>
              <a:p>
                <a:pPr>
                  <a:defRPr b="0"/>
                </a:pPr>
                <a:endParaRPr lang="ar-SA"/>
              </a:p>
            </c:txPr>
            <c:showVal val="1"/>
          </c:dLbls>
          <c:cat>
            <c:strRef>
              <c:f>Sheet1!$B$1:$D$1</c:f>
              <c:strCache>
                <c:ptCount val="3"/>
                <c:pt idx="0">
                  <c:v>West Bank</c:v>
                </c:pt>
                <c:pt idx="1">
                  <c:v>Gaza Strip</c:v>
                </c:pt>
                <c:pt idx="2">
                  <c:v>Palestinian Territory</c:v>
                </c:pt>
              </c:strCache>
            </c:strRef>
          </c:cat>
          <c:val>
            <c:numRef>
              <c:f>Sheet1!$B$5:$D$5</c:f>
              <c:numCache>
                <c:formatCode>0.0</c:formatCode>
                <c:ptCount val="3"/>
                <c:pt idx="0">
                  <c:v>99.4</c:v>
                </c:pt>
                <c:pt idx="1">
                  <c:v>99.2</c:v>
                </c:pt>
                <c:pt idx="2">
                  <c:v>99.4</c:v>
                </c:pt>
              </c:numCache>
            </c:numRef>
          </c:val>
        </c:ser>
        <c:axId val="123286272"/>
        <c:axId val="123288192"/>
      </c:barChart>
      <c:catAx>
        <c:axId val="123286272"/>
        <c:scaling>
          <c:orientation val="minMax"/>
        </c:scaling>
        <c:axPos val="b"/>
        <c:title>
          <c:tx>
            <c:rich>
              <a:bodyPr/>
              <a:lstStyle/>
              <a:p>
                <a:pPr>
                  <a:defRPr/>
                </a:pPr>
                <a:r>
                  <a:rPr lang="en-US"/>
                  <a:t>Region</a:t>
                </a:r>
                <a:endParaRPr lang="ar-SA"/>
              </a:p>
            </c:rich>
          </c:tx>
          <c:layout>
            <c:manualLayout>
              <c:xMode val="edge"/>
              <c:yMode val="edge"/>
              <c:x val="0.51054569274962069"/>
              <c:y val="0.82825504570549369"/>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123288192"/>
        <c:crosses val="autoZero"/>
        <c:auto val="1"/>
        <c:lblAlgn val="ctr"/>
        <c:lblOffset val="100"/>
        <c:tickLblSkip val="1"/>
        <c:tickMarkSkip val="1"/>
      </c:catAx>
      <c:valAx>
        <c:axId val="123288192"/>
        <c:scaling>
          <c:orientation val="minMax"/>
          <c:max val="100"/>
          <c:min val="20"/>
        </c:scaling>
        <c:axPos val="l"/>
        <c:majorGridlines/>
        <c:numFmt formatCode="0.0" sourceLinked="1"/>
        <c:tickLblPos val="nextTo"/>
        <c:spPr>
          <a:ln w="3175">
            <a:solidFill>
              <a:srgbClr val="000000"/>
            </a:solidFill>
            <a:prstDash val="solid"/>
          </a:ln>
        </c:spPr>
        <c:txPr>
          <a:bodyPr rot="0" vert="horz"/>
          <a:lstStyle/>
          <a:p>
            <a:pPr>
              <a:defRPr b="0"/>
            </a:pPr>
            <a:endParaRPr lang="ar-SA"/>
          </a:p>
        </c:txPr>
        <c:crossAx val="123286272"/>
        <c:crosses val="autoZero"/>
        <c:crossBetween val="between"/>
        <c:majorUnit val="10"/>
        <c:minorUnit val="0.4"/>
      </c:valAx>
      <c:spPr>
        <a:solidFill>
          <a:srgbClr val="FFFFFF"/>
        </a:solidFill>
        <a:ln w="3175">
          <a:solidFill>
            <a:srgbClr val="C0C0C0"/>
          </a:solidFill>
          <a:prstDash val="solid"/>
        </a:ln>
      </c:spPr>
    </c:plotArea>
    <c:legend>
      <c:legendPos val="r"/>
      <c:layout>
        <c:manualLayout>
          <c:xMode val="edge"/>
          <c:yMode val="edge"/>
          <c:x val="0.32235432628257638"/>
          <c:y val="0.91988023048843892"/>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14.8</a:t>
                    </a:r>
                  </a:p>
                </c:rich>
              </c:tx>
              <c:dLblPos val="outEnd"/>
            </c:dLbl>
            <c:dLbl>
              <c:idx val="1"/>
              <c:layout/>
              <c:tx>
                <c:rich>
                  <a:bodyPr/>
                  <a:lstStyle/>
                  <a:p>
                    <a:r>
                      <a:rPr lang="ar-SA" sz="900">
                        <a:latin typeface="Arial" pitchFamily="34" charset="0"/>
                        <a:cs typeface="Arial" pitchFamily="34" charset="0"/>
                      </a:rPr>
                      <a:t>9.8</a:t>
                    </a:r>
                  </a:p>
                </c:rich>
              </c:tx>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Palestinin Territory</c:v>
                </c:pt>
              </c:strCache>
            </c:strRef>
          </c:cat>
          <c:val>
            <c:numRef>
              <c:f>Sheet1!$B$2:$D$2</c:f>
              <c:numCache>
                <c:formatCode>General</c:formatCode>
                <c:ptCount val="3"/>
                <c:pt idx="0">
                  <c:v>14.8</c:v>
                </c:pt>
                <c:pt idx="1">
                  <c:v>9.8000000000000007</c:v>
                </c:pt>
                <c:pt idx="2">
                  <c:v>12.8</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117E-3"/>
                </c:manualLayout>
              </c:layout>
              <c:tx>
                <c:rich>
                  <a:bodyPr/>
                  <a:lstStyle/>
                  <a:p>
                    <a:r>
                      <a:rPr lang="en-US">
                        <a:latin typeface="Arial" pitchFamily="34" charset="0"/>
                        <a:cs typeface="Arial" pitchFamily="34" charset="0"/>
                      </a:rPr>
                      <a:t>11.5</a:t>
                    </a:r>
                  </a:p>
                </c:rich>
              </c:tx>
              <c:dLblPos val="outEnd"/>
              <c:showVal val="1"/>
            </c:dLbl>
            <c:dLbl>
              <c:idx val="1"/>
              <c:layout/>
              <c:tx>
                <c:rich>
                  <a:bodyPr/>
                  <a:lstStyle/>
                  <a:p>
                    <a:r>
                      <a:rPr lang="ar-SA" sz="900">
                        <a:latin typeface="Arial" pitchFamily="34" charset="0"/>
                        <a:cs typeface="Arial" pitchFamily="34" charset="0"/>
                      </a:rPr>
                      <a:t>12.1</a:t>
                    </a:r>
                  </a:p>
                </c:rich>
              </c:tx>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Palestinin Territory</c:v>
                </c:pt>
              </c:strCache>
            </c:strRef>
          </c:cat>
          <c:val>
            <c:numRef>
              <c:f>Sheet1!$B$3:$D$3</c:f>
              <c:numCache>
                <c:formatCode>General</c:formatCode>
                <c:ptCount val="3"/>
                <c:pt idx="0">
                  <c:v>11.5</c:v>
                </c:pt>
                <c:pt idx="1">
                  <c:v>12.1</c:v>
                </c:pt>
                <c:pt idx="2">
                  <c:v>11.7</c:v>
                </c:pt>
              </c:numCache>
            </c:numRef>
          </c:val>
        </c:ser>
        <c:axId val="122334592"/>
        <c:axId val="123524608"/>
      </c:barChart>
      <c:catAx>
        <c:axId val="122334592"/>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Region</a:t>
                </a:r>
                <a:endParaRPr lang="ar-SA">
                  <a:latin typeface="Arial" pitchFamily="34" charset="0"/>
                  <a:cs typeface="Arial" pitchFamily="34" charset="0"/>
                </a:endParaRPr>
              </a:p>
            </c:rich>
          </c:tx>
          <c:layout>
            <c:manualLayout>
              <c:xMode val="edge"/>
              <c:yMode val="edge"/>
              <c:x val="0.47906733412117725"/>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23524608"/>
        <c:crosses val="autoZero"/>
        <c:auto val="1"/>
        <c:lblAlgn val="ctr"/>
        <c:lblOffset val="100"/>
        <c:tickLblSkip val="1"/>
        <c:tickMarkSkip val="1"/>
      </c:catAx>
      <c:valAx>
        <c:axId val="123524608"/>
        <c:scaling>
          <c:orientation val="minMax"/>
        </c:scaling>
        <c:axPos val="l"/>
        <c:majorGridlines/>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Percent</a:t>
                </a:r>
                <a:endParaRPr lang="ar-SA">
                  <a:latin typeface="Arial" pitchFamily="34" charset="0"/>
                  <a:cs typeface="Arial" pitchFamily="34" charset="0"/>
                </a:endParaRPr>
              </a:p>
            </c:rich>
          </c:tx>
          <c:layout>
            <c:manualLayout>
              <c:xMode val="edge"/>
              <c:yMode val="edge"/>
              <c:x val="1.8913217635316663E-2"/>
              <c:y val="0.35939391196790593"/>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Times New Roman"/>
                <a:ea typeface="Times New Roman"/>
                <a:cs typeface="Times New Roman"/>
              </a:defRPr>
            </a:pPr>
            <a:endParaRPr lang="ar-SA"/>
          </a:p>
        </c:txPr>
        <c:crossAx val="122334592"/>
        <c:crosses val="autoZero"/>
        <c:crossBetween val="between"/>
      </c:valAx>
      <c:spPr>
        <a:solidFill>
          <a:srgbClr val="FFFFFF"/>
        </a:solidFill>
        <a:ln w="3175">
          <a:solidFill>
            <a:srgbClr val="C0C0C0"/>
          </a:solidFill>
          <a:prstDash val="solid"/>
        </a:ln>
      </c:spPr>
    </c:plotArea>
    <c:legend>
      <c:legendPos val="r"/>
      <c:legendEntry>
        <c:idx val="0"/>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Entry>
      <c:layout>
        <c:manualLayout>
          <c:xMode val="edge"/>
          <c:yMode val="edge"/>
          <c:x val="0.31560891938251245"/>
          <c:y val="1.183431952662722E-2"/>
          <c:w val="0.21524328008746582"/>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Times New Roman"/>
              <a:ea typeface="Times New Roman"/>
              <a:cs typeface="+mn-cs"/>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79080438474601833"/>
        </c:manualLayout>
      </c:layout>
      <c:barChart>
        <c:barDir val="col"/>
        <c:grouping val="clustered"/>
        <c:ser>
          <c:idx val="1"/>
          <c:order val="0"/>
          <c:tx>
            <c:strRef>
              <c:f>Sheet1!$A$2</c:f>
              <c:strCache>
                <c:ptCount val="1"/>
                <c:pt idx="0">
                  <c:v>Male</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12.8</a:t>
                    </a:r>
                  </a:p>
                </c:rich>
              </c:tx>
              <c:dLblPos val="outEnd"/>
            </c:dLbl>
            <c:dLbl>
              <c:idx val="1"/>
              <c:layout/>
              <c:tx>
                <c:rich>
                  <a:bodyPr/>
                  <a:lstStyle/>
                  <a:p>
                    <a:r>
                      <a:rPr lang="ar-SA" sz="900">
                        <a:latin typeface="Arial" pitchFamily="34" charset="0"/>
                        <a:cs typeface="Arial" pitchFamily="34" charset="0"/>
                      </a:rPr>
                      <a:t>5.7</a:t>
                    </a:r>
                  </a:p>
                </c:rich>
              </c:tx>
            </c:dLbl>
            <c:dLbl>
              <c:idx val="2"/>
              <c:tx>
                <c:rich>
                  <a:bodyPr/>
                  <a:lstStyle/>
                  <a:p>
                    <a:r>
                      <a:rPr lang="en-US" sz="900">
                        <a:latin typeface="Arial" pitchFamily="34" charset="0"/>
                        <a:cs typeface="Arial" pitchFamily="34" charset="0"/>
                      </a:rPr>
                      <a:t>3.3</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Sheet1!$B$1:$C$1</c:f>
              <c:strCache>
                <c:ptCount val="2"/>
                <c:pt idx="0">
                  <c:v>Diarrhea</c:v>
                </c:pt>
                <c:pt idx="1">
                  <c:v>Respiratory infections</c:v>
                </c:pt>
              </c:strCache>
            </c:strRef>
          </c:cat>
          <c:val>
            <c:numRef>
              <c:f>Sheet1!$B$2:$C$2</c:f>
              <c:numCache>
                <c:formatCode>0.0</c:formatCode>
                <c:ptCount val="2"/>
                <c:pt idx="0" formatCode="General">
                  <c:v>12.8</c:v>
                </c:pt>
                <c:pt idx="1">
                  <c:v>5.7</c:v>
                </c:pt>
              </c:numCache>
            </c:numRef>
          </c:val>
        </c:ser>
        <c:ser>
          <c:idx val="0"/>
          <c:order val="1"/>
          <c:tx>
            <c:strRef>
              <c:f>Sheet1!$A$3</c:f>
              <c:strCache>
                <c:ptCount val="1"/>
                <c:pt idx="0">
                  <c:v>Female</c:v>
                </c:pt>
              </c:strCache>
            </c:strRef>
          </c:tx>
          <c:spPr>
            <a:solidFill>
              <a:srgbClr val="9999FF"/>
            </a:solidFill>
            <a:ln w="12699">
              <a:solidFill>
                <a:srgbClr val="000000"/>
              </a:solidFill>
              <a:prstDash val="solid"/>
            </a:ln>
          </c:spPr>
          <c:dLbls>
            <c:dLbl>
              <c:idx val="0"/>
              <c:layout>
                <c:manualLayout>
                  <c:x val="1.0438292400760758E-3"/>
                  <c:y val="3.781305545335826E-3"/>
                </c:manualLayout>
              </c:layout>
              <c:dLblPos val="outEnd"/>
              <c:showVal val="1"/>
            </c:dLbl>
            <c:dLbl>
              <c:idx val="1"/>
              <c:layout/>
              <c:tx>
                <c:rich>
                  <a:bodyPr/>
                  <a:lstStyle/>
                  <a:p>
                    <a:r>
                      <a:rPr lang="ar-SA" sz="900">
                        <a:latin typeface="Arial" pitchFamily="34" charset="0"/>
                        <a:cs typeface="Arial" pitchFamily="34" charset="0"/>
                      </a:rPr>
                      <a:t>4.3</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Sheet1!$B$1:$C$1</c:f>
              <c:strCache>
                <c:ptCount val="2"/>
                <c:pt idx="0">
                  <c:v>Diarrhea</c:v>
                </c:pt>
                <c:pt idx="1">
                  <c:v>Respiratory infections</c:v>
                </c:pt>
              </c:strCache>
            </c:strRef>
          </c:cat>
          <c:val>
            <c:numRef>
              <c:f>Sheet1!$B$3:$C$3</c:f>
              <c:numCache>
                <c:formatCode>General</c:formatCode>
                <c:ptCount val="2"/>
                <c:pt idx="0">
                  <c:v>12.7</c:v>
                </c:pt>
                <c:pt idx="1">
                  <c:v>4.3</c:v>
                </c:pt>
              </c:numCache>
            </c:numRef>
          </c:val>
        </c:ser>
        <c:axId val="123489280"/>
        <c:axId val="123896576"/>
      </c:barChart>
      <c:catAx>
        <c:axId val="123489280"/>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23896576"/>
        <c:crosses val="autoZero"/>
        <c:auto val="1"/>
        <c:lblAlgn val="ctr"/>
        <c:lblOffset val="100"/>
        <c:tickLblSkip val="1"/>
        <c:tickMarkSkip val="1"/>
      </c:catAx>
      <c:valAx>
        <c:axId val="123896576"/>
        <c:scaling>
          <c:orientation val="minMax"/>
        </c:scaling>
        <c:axPos val="l"/>
        <c:majorGridlines/>
        <c:title>
          <c:tx>
            <c:rich>
              <a:bodyPr/>
              <a:lstStyle/>
              <a:p>
                <a:pPr>
                  <a:defRPr sz="900" b="1" i="0" u="none" strike="noStrike" baseline="0">
                    <a:solidFill>
                      <a:srgbClr val="000000"/>
                    </a:solidFill>
                    <a:latin typeface="Simplified Arabic"/>
                    <a:ea typeface="Simplified Arabic"/>
                    <a:cs typeface="Simplified Arabic"/>
                  </a:defRPr>
                </a:pPr>
                <a:r>
                  <a:rPr lang="ar-SA">
                    <a:latin typeface="Arial" pitchFamily="34" charset="0"/>
                    <a:cs typeface="Arial" pitchFamily="34" charset="0"/>
                  </a:rPr>
                  <a:t>النسبة</a:t>
                </a:r>
              </a:p>
            </c:rich>
          </c:tx>
          <c:layout>
            <c:manualLayout>
              <c:xMode val="edge"/>
              <c:yMode val="edge"/>
              <c:x val="7.6709466965870403E-3"/>
              <c:y val="0.35939391196790843"/>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123489280"/>
        <c:crosses val="autoZero"/>
        <c:crossBetween val="between"/>
      </c:valAx>
      <c:spPr>
        <a:solidFill>
          <a:srgbClr val="FFFFFF"/>
        </a:solidFill>
        <a:ln w="3175">
          <a:solidFill>
            <a:srgbClr val="C0C0C0"/>
          </a:solidFill>
          <a:prstDash val="solid"/>
        </a:ln>
      </c:spPr>
    </c:plotArea>
    <c:legend>
      <c:legendPos val="r"/>
      <c:layout>
        <c:manualLayout>
          <c:xMode val="edge"/>
          <c:yMode val="edge"/>
          <c:x val="0.70683999238713136"/>
          <c:y val="6.9305517844752834E-2"/>
          <c:w val="0.21524328008746729"/>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4692D-E6A6-412C-BD72-3A8DCBA4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12</Pages>
  <Words>2871</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Social characteristics Chapter I </vt:lpstr>
    </vt:vector>
  </TitlesOfParts>
  <Company/>
  <LinksUpToDate>false</LinksUpToDate>
  <CharactersWithSpaces>18863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characteristics Chapter I </dc:title>
  <dc:subject/>
  <dc:creator>Administrator</dc:creator>
  <cp:keywords/>
  <dc:description/>
  <cp:lastModifiedBy>hananj</cp:lastModifiedBy>
  <cp:revision>79</cp:revision>
  <cp:lastPrinted>2012-04-02T06:43:00Z</cp:lastPrinted>
  <dcterms:created xsi:type="dcterms:W3CDTF">2012-01-19T10:54:00Z</dcterms:created>
  <dcterms:modified xsi:type="dcterms:W3CDTF">2014-02-27T10:21:00Z</dcterms:modified>
</cp:coreProperties>
</file>