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12C" w:rsidRDefault="00A81168">
      <w:pPr>
        <w:bidi w:val="0"/>
        <w:jc w:val="center"/>
        <w:rPr>
          <w:color w:val="000000"/>
        </w:rPr>
      </w:pPr>
      <w:r>
        <w:rPr>
          <w:color w:val="000000"/>
        </w:rPr>
        <w:t>Chapter One</w:t>
      </w:r>
    </w:p>
    <w:p w:rsidR="0010412C" w:rsidRDefault="0010412C">
      <w:pPr>
        <w:bidi w:val="0"/>
        <w:jc w:val="center"/>
        <w:rPr>
          <w:color w:val="000000"/>
        </w:rPr>
      </w:pPr>
    </w:p>
    <w:p w:rsidR="0010412C" w:rsidRDefault="00A81168">
      <w:pPr>
        <w:bidi w:val="0"/>
        <w:jc w:val="center"/>
        <w:rPr>
          <w:b/>
          <w:bCs/>
          <w:color w:val="000000"/>
        </w:rPr>
      </w:pPr>
      <w:r>
        <w:rPr>
          <w:b/>
          <w:bCs/>
          <w:color w:val="000000"/>
        </w:rPr>
        <w:t>Demographic Status</w:t>
      </w:r>
    </w:p>
    <w:p w:rsidR="0010412C" w:rsidRDefault="0010412C">
      <w:pPr>
        <w:bidi w:val="0"/>
        <w:jc w:val="both"/>
        <w:rPr>
          <w:b/>
          <w:bCs/>
          <w:color w:val="000000"/>
        </w:rPr>
      </w:pPr>
    </w:p>
    <w:p w:rsidR="0010412C" w:rsidRDefault="00503F54">
      <w:pPr>
        <w:bidi w:val="0"/>
        <w:jc w:val="both"/>
        <w:rPr>
          <w:color w:val="000000"/>
        </w:rPr>
      </w:pPr>
      <w:r w:rsidRPr="00503F54">
        <w:rPr>
          <w:noProof/>
          <w:color w:val="000000"/>
          <w:sz w:val="20"/>
          <w:lang w:val="ar-SA"/>
        </w:rPr>
        <w:pict>
          <v:rect id="_x0000_s1047" style="position:absolute;left:0;text-align:left;margin-left:0;margin-top:3.35pt;width:459pt;height:54pt;z-index:251656192">
            <v:textbox>
              <w:txbxContent>
                <w:p w:rsidR="0010412C" w:rsidRDefault="00A81168">
                  <w:pPr>
                    <w:bidi w:val="0"/>
                    <w:jc w:val="lowKashida"/>
                    <w:rPr>
                      <w:b/>
                      <w:bCs/>
                      <w:i/>
                      <w:iCs/>
                    </w:rPr>
                  </w:pPr>
                  <w:r>
                    <w:rPr>
                      <w:b/>
                      <w:bCs/>
                      <w:i/>
                      <w:iCs/>
                    </w:rPr>
                    <w:t xml:space="preserve">A child means every human being under the age of eighteen years unless, under the law applicable to the child, majority is attained earlier. </w:t>
                  </w:r>
                </w:p>
                <w:p w:rsidR="0010412C" w:rsidRDefault="00A81168">
                  <w:pPr>
                    <w:jc w:val="right"/>
                    <w:rPr>
                      <w:sz w:val="22"/>
                      <w:szCs w:val="22"/>
                    </w:rPr>
                  </w:pPr>
                  <w:r>
                    <w:rPr>
                      <w:b/>
                      <w:bCs/>
                      <w:sz w:val="22"/>
                      <w:szCs w:val="22"/>
                    </w:rPr>
                    <w:t xml:space="preserve">                                                                </w:t>
                  </w:r>
                  <w:r>
                    <w:rPr>
                      <w:sz w:val="22"/>
                      <w:szCs w:val="22"/>
                    </w:rPr>
                    <w:t xml:space="preserve">                 </w:t>
                  </w:r>
                  <w:r>
                    <w:rPr>
                      <w:i/>
                      <w:iCs/>
                      <w:sz w:val="22"/>
                      <w:szCs w:val="22"/>
                    </w:rPr>
                    <w:t>(Convention on the Rights of the Child,, Article 1)</w:t>
                  </w:r>
                </w:p>
              </w:txbxContent>
            </v:textbox>
          </v:rect>
        </w:pict>
      </w:r>
    </w:p>
    <w:p w:rsidR="0010412C" w:rsidRDefault="0010412C">
      <w:pPr>
        <w:bidi w:val="0"/>
        <w:jc w:val="both"/>
        <w:rPr>
          <w:color w:val="000000"/>
        </w:rPr>
      </w:pPr>
    </w:p>
    <w:p w:rsidR="0010412C" w:rsidRDefault="0010412C">
      <w:pPr>
        <w:bidi w:val="0"/>
        <w:jc w:val="both"/>
        <w:rPr>
          <w:color w:val="000000"/>
        </w:rPr>
      </w:pPr>
    </w:p>
    <w:p w:rsidR="0010412C" w:rsidRDefault="00A81168">
      <w:pPr>
        <w:bidi w:val="0"/>
        <w:jc w:val="both"/>
        <w:rPr>
          <w:color w:val="000000"/>
        </w:rPr>
      </w:pPr>
      <w:r>
        <w:rPr>
          <w:color w:val="000000"/>
        </w:rPr>
        <w:t xml:space="preserve">Children are an important sector in the society, and a major asset for future community </w:t>
      </w:r>
    </w:p>
    <w:p w:rsidR="0010412C" w:rsidRDefault="0010412C">
      <w:pPr>
        <w:bidi w:val="0"/>
        <w:jc w:val="both"/>
        <w:rPr>
          <w:color w:val="000000"/>
        </w:rPr>
      </w:pPr>
    </w:p>
    <w:p w:rsidR="0010412C" w:rsidRDefault="00A81168" w:rsidP="00CE0290">
      <w:pPr>
        <w:bidi w:val="0"/>
        <w:jc w:val="both"/>
        <w:rPr>
          <w:color w:val="000000"/>
        </w:rPr>
      </w:pPr>
      <w:r>
        <w:rPr>
          <w:color w:val="000000"/>
        </w:rPr>
        <w:t xml:space="preserve">Childhood is an important stage when the future life of </w:t>
      </w:r>
      <w:r w:rsidR="00CE0290">
        <w:rPr>
          <w:color w:val="000000"/>
        </w:rPr>
        <w:t xml:space="preserve">a </w:t>
      </w:r>
      <w:r>
        <w:rPr>
          <w:color w:val="000000"/>
        </w:rPr>
        <w:t>child is defined, so it has prompted many states to ensure that children are provided care for their integrated balanced growth in all aspects of mental, psychological and social health.</w:t>
      </w:r>
    </w:p>
    <w:p w:rsidR="0010412C" w:rsidRDefault="00A81168" w:rsidP="00867183">
      <w:pPr>
        <w:bidi w:val="0"/>
        <w:jc w:val="both"/>
        <w:rPr>
          <w:color w:val="000000"/>
        </w:rPr>
      </w:pPr>
      <w:r>
        <w:rPr>
          <w:color w:val="000000"/>
        </w:rPr>
        <w:br/>
        <w:t xml:space="preserve">The Convention on the Rights of the Child, adopted by United Nations General Assembly in 1989, constitutes the highest standard of attention to children, since this declaration includes a number of principles aimed at providing guarantees for survival, development and protection of children. The implementation of this convention requires a supportive environment to meet and cater for the rights of the child that is rich with incentives to encourage decision and policy makers, and all workers in the childhood sector, to work for achieving the goals of the declaration. </w:t>
      </w:r>
    </w:p>
    <w:p w:rsidR="0010412C" w:rsidRDefault="00A81168">
      <w:pPr>
        <w:bidi w:val="0"/>
        <w:jc w:val="both"/>
        <w:rPr>
          <w:color w:val="000000"/>
        </w:rPr>
      </w:pPr>
      <w:r>
        <w:rPr>
          <w:color w:val="000000"/>
        </w:rPr>
        <w:br/>
        <w:t xml:space="preserve">The environment surrounding children is a key element in the evolution and development of the child's physical, mental, and psychological development, and affects the circumstances surrounding the way the child is raised, including the formation of ideas and beliefs, perceptions and attitudes towards the core issues relating to his life. This chapter presents the basic statistics about the environment surrounding the Palestinian child in the Palestinian Territory, including the demographic composition of the population as well as the social and environmental status in which a Palestinian child lives. </w:t>
      </w:r>
    </w:p>
    <w:p w:rsidR="0010412C" w:rsidRDefault="0010412C">
      <w:pPr>
        <w:bidi w:val="0"/>
        <w:jc w:val="both"/>
        <w:rPr>
          <w:color w:val="000000"/>
        </w:rPr>
      </w:pPr>
    </w:p>
    <w:p w:rsidR="0010412C" w:rsidRDefault="0010412C">
      <w:pPr>
        <w:bidi w:val="0"/>
        <w:jc w:val="both"/>
        <w:rPr>
          <w:color w:val="000000"/>
        </w:rPr>
      </w:pPr>
    </w:p>
    <w:p w:rsidR="0010412C" w:rsidRDefault="00A81168">
      <w:pPr>
        <w:bidi w:val="0"/>
        <w:jc w:val="both"/>
        <w:rPr>
          <w:b/>
          <w:bCs/>
          <w:color w:val="000000"/>
        </w:rPr>
      </w:pPr>
      <w:r>
        <w:rPr>
          <w:b/>
          <w:bCs/>
          <w:color w:val="000000"/>
        </w:rPr>
        <w:t>1.1 Growth Rate</w:t>
      </w:r>
    </w:p>
    <w:p w:rsidR="0010412C" w:rsidRDefault="00A81168" w:rsidP="00A81168">
      <w:pPr>
        <w:pStyle w:val="BodyText3"/>
      </w:pPr>
      <w:r>
        <w:t>The study of age and gender contributes to understanding the demographic changes. The data showed that the population in the Palestinian Territory in mid 2011, is 4.17 million of whom 2.58 million are in the West Bank; 61.9%, and 1.59 million people in Gaza Strip; 38.1% in 2011.</w:t>
      </w: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10412C">
      <w:pPr>
        <w:bidi w:val="0"/>
        <w:jc w:val="center"/>
        <w:rPr>
          <w:b/>
          <w:bCs/>
          <w:color w:val="000000"/>
        </w:rPr>
      </w:pPr>
    </w:p>
    <w:p w:rsidR="0010412C" w:rsidRDefault="00A81168" w:rsidP="009B596F">
      <w:pPr>
        <w:bidi w:val="0"/>
        <w:jc w:val="center"/>
        <w:rPr>
          <w:b/>
          <w:bCs/>
          <w:color w:val="000000"/>
          <w:sz w:val="22"/>
          <w:szCs w:val="22"/>
        </w:rPr>
      </w:pPr>
      <w:r>
        <w:rPr>
          <w:b/>
          <w:bCs/>
          <w:color w:val="000000"/>
          <w:sz w:val="22"/>
          <w:szCs w:val="22"/>
        </w:rPr>
        <w:t xml:space="preserve">Figure (1-1) Population pyramid in the Palestinian </w:t>
      </w:r>
      <w:r w:rsidR="009B596F">
        <w:rPr>
          <w:b/>
          <w:bCs/>
          <w:color w:val="000000"/>
          <w:sz w:val="22"/>
          <w:szCs w:val="22"/>
        </w:rPr>
        <w:t>territory</w:t>
      </w:r>
      <w:r w:rsidR="002A7D72">
        <w:rPr>
          <w:b/>
          <w:bCs/>
          <w:color w:val="000000"/>
          <w:sz w:val="22"/>
          <w:szCs w:val="22"/>
        </w:rPr>
        <w:t xml:space="preserve"> in</w:t>
      </w:r>
      <w:r w:rsidR="009B596F">
        <w:rPr>
          <w:b/>
          <w:bCs/>
          <w:color w:val="000000"/>
          <w:sz w:val="22"/>
          <w:szCs w:val="22"/>
        </w:rPr>
        <w:t xml:space="preserve"> </w:t>
      </w:r>
      <w:r>
        <w:rPr>
          <w:b/>
          <w:bCs/>
          <w:color w:val="000000"/>
          <w:sz w:val="22"/>
          <w:szCs w:val="22"/>
        </w:rPr>
        <w:t xml:space="preserve">mid </w:t>
      </w:r>
      <w:r w:rsidR="00D1589D">
        <w:rPr>
          <w:b/>
          <w:bCs/>
          <w:color w:val="000000"/>
          <w:sz w:val="22"/>
          <w:szCs w:val="22"/>
        </w:rPr>
        <w:t>2011</w:t>
      </w:r>
    </w:p>
    <w:p w:rsidR="0010412C" w:rsidRPr="00980BDF" w:rsidRDefault="00A81168" w:rsidP="00C83D7D">
      <w:pPr>
        <w:tabs>
          <w:tab w:val="right" w:pos="900"/>
          <w:tab w:val="right" w:pos="2700"/>
        </w:tabs>
        <w:bidi w:val="0"/>
        <w:ind w:left="142" w:hanging="142"/>
        <w:rPr>
          <w:b/>
          <w:bCs/>
          <w:color w:val="000000"/>
          <w:sz w:val="18"/>
          <w:szCs w:val="18"/>
        </w:rPr>
      </w:pPr>
      <w:r>
        <w:rPr>
          <w:noProof/>
          <w:lang w:eastAsia="en-US"/>
        </w:rPr>
        <w:drawing>
          <wp:inline distT="0" distB="0" distL="0" distR="0">
            <wp:extent cx="6124575" cy="3476625"/>
            <wp:effectExtent l="57150" t="0" r="47625" b="66675"/>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15185">
        <w:rPr>
          <w:b/>
          <w:bCs/>
          <w:color w:val="000000"/>
          <w:sz w:val="18"/>
          <w:szCs w:val="18"/>
        </w:rPr>
        <w:t xml:space="preserve">  </w:t>
      </w:r>
      <w:r>
        <w:rPr>
          <w:b/>
          <w:bCs/>
          <w:color w:val="000000"/>
          <w:sz w:val="18"/>
          <w:szCs w:val="18"/>
        </w:rPr>
        <w:t xml:space="preserve">Source: Palestinian Central Bureau of Statistics, </w:t>
      </w:r>
      <w:r w:rsidR="00D1589D">
        <w:rPr>
          <w:b/>
          <w:bCs/>
          <w:color w:val="000000"/>
          <w:sz w:val="18"/>
          <w:szCs w:val="18"/>
        </w:rPr>
        <w:t>2012</w:t>
      </w:r>
      <w:r>
        <w:rPr>
          <w:b/>
          <w:bCs/>
          <w:color w:val="000000"/>
          <w:sz w:val="18"/>
          <w:szCs w:val="18"/>
        </w:rPr>
        <w:t xml:space="preserve">. </w:t>
      </w:r>
      <w:r>
        <w:rPr>
          <w:color w:val="000000"/>
          <w:sz w:val="18"/>
          <w:szCs w:val="18"/>
        </w:rPr>
        <w:t xml:space="preserve">Revised  estimate  based on the final results of Population, </w:t>
      </w:r>
      <w:r w:rsidR="00415185">
        <w:rPr>
          <w:color w:val="000000"/>
          <w:sz w:val="18"/>
          <w:szCs w:val="18"/>
        </w:rPr>
        <w:t xml:space="preserve">  </w:t>
      </w:r>
      <w:r w:rsidR="00C83D7D">
        <w:rPr>
          <w:color w:val="000000"/>
          <w:sz w:val="18"/>
          <w:szCs w:val="18"/>
        </w:rPr>
        <w:t xml:space="preserve">  </w:t>
      </w:r>
      <w:r>
        <w:rPr>
          <w:color w:val="000000"/>
          <w:sz w:val="18"/>
          <w:szCs w:val="18"/>
        </w:rPr>
        <w:t xml:space="preserve">Housing and Establishment Census 2007. </w:t>
      </w:r>
      <w:r w:rsidRPr="00980BDF">
        <w:rPr>
          <w:b/>
          <w:bCs/>
          <w:color w:val="000000"/>
          <w:sz w:val="18"/>
          <w:szCs w:val="18"/>
        </w:rPr>
        <w:t>Ramallah-Palestine</w:t>
      </w:r>
    </w:p>
    <w:p w:rsidR="0010412C" w:rsidRDefault="00A81168" w:rsidP="009847B4">
      <w:pPr>
        <w:bidi w:val="0"/>
        <w:rPr>
          <w:color w:val="000000"/>
        </w:rPr>
      </w:pPr>
      <w:r w:rsidRPr="00980BDF">
        <w:rPr>
          <w:rFonts w:hint="cs"/>
          <w:b/>
          <w:bCs/>
          <w:color w:val="000000"/>
          <w:rtl/>
        </w:rPr>
        <w:t xml:space="preserve"> </w:t>
      </w:r>
      <w:r w:rsidRPr="00980BDF">
        <w:rPr>
          <w:b/>
          <w:bCs/>
          <w:color w:val="000000"/>
        </w:rPr>
        <w:t xml:space="preserve">  </w:t>
      </w:r>
      <w:r w:rsidRPr="00980BDF">
        <w:rPr>
          <w:b/>
          <w:bCs/>
          <w:color w:val="000000"/>
          <w:sz w:val="32"/>
          <w:szCs w:val="32"/>
        </w:rPr>
        <w:br/>
      </w:r>
      <w:r>
        <w:rPr>
          <w:color w:val="000000"/>
        </w:rPr>
        <w:t>The Palestinian population pyramid showed a high proportion of individuals under the age of 1</w:t>
      </w:r>
      <w:r w:rsidR="009847B4">
        <w:rPr>
          <w:color w:val="000000"/>
        </w:rPr>
        <w:t>8</w:t>
      </w:r>
      <w:r>
        <w:rPr>
          <w:color w:val="000000"/>
        </w:rPr>
        <w:t xml:space="preserve"> years 4</w:t>
      </w:r>
      <w:r w:rsidR="009847B4">
        <w:rPr>
          <w:color w:val="000000"/>
        </w:rPr>
        <w:t>8</w:t>
      </w:r>
      <w:r>
        <w:rPr>
          <w:color w:val="000000"/>
        </w:rPr>
        <w:t>.</w:t>
      </w:r>
      <w:r w:rsidR="009847B4">
        <w:rPr>
          <w:color w:val="000000"/>
        </w:rPr>
        <w:t>2</w:t>
      </w:r>
      <w:r>
        <w:rPr>
          <w:color w:val="000000"/>
        </w:rPr>
        <w:t xml:space="preserve">%, while the proportion of elderly individuals is low. These percentages indicate high fertility rates and the fact that Palestinian society is a young society with a broad, young pyramid base. </w:t>
      </w:r>
    </w:p>
    <w:p w:rsidR="0010412C" w:rsidRDefault="0010412C">
      <w:pPr>
        <w:pStyle w:val="BodyText3"/>
      </w:pPr>
    </w:p>
    <w:p w:rsidR="0010412C" w:rsidRDefault="00A81168" w:rsidP="003F240A">
      <w:pPr>
        <w:pStyle w:val="Heading2"/>
        <w:rPr>
          <w:sz w:val="22"/>
          <w:szCs w:val="22"/>
        </w:rPr>
      </w:pPr>
      <w:r>
        <w:rPr>
          <w:sz w:val="22"/>
          <w:szCs w:val="22"/>
        </w:rPr>
        <w:t>Figure (1-2) Estimated natural increase rate of population, 1997-</w:t>
      </w:r>
      <w:r w:rsidR="003F240A">
        <w:rPr>
          <w:sz w:val="22"/>
          <w:szCs w:val="22"/>
        </w:rPr>
        <w:t>2011</w:t>
      </w:r>
    </w:p>
    <w:p w:rsidR="0010412C" w:rsidRPr="00980BDF" w:rsidRDefault="00A81168" w:rsidP="003F240A">
      <w:pPr>
        <w:bidi w:val="0"/>
        <w:rPr>
          <w:b/>
          <w:bCs/>
          <w:color w:val="000000"/>
          <w:sz w:val="18"/>
          <w:szCs w:val="18"/>
        </w:rPr>
      </w:pPr>
      <w:r w:rsidRPr="00E4139F">
        <w:rPr>
          <w:rFonts w:cs="Simplified Arabic"/>
          <w:noProof/>
          <w:color w:val="008080"/>
          <w:sz w:val="32"/>
          <w:szCs w:val="32"/>
          <w:rtl/>
          <w:lang w:eastAsia="en-US"/>
        </w:rPr>
        <w:drawing>
          <wp:inline distT="0" distB="0" distL="0" distR="0">
            <wp:extent cx="6067425" cy="2324100"/>
            <wp:effectExtent l="57150" t="0" r="66675" b="9525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415185">
        <w:rPr>
          <w:b/>
          <w:bCs/>
          <w:sz w:val="18"/>
          <w:szCs w:val="18"/>
        </w:rPr>
        <w:t xml:space="preserve"> </w:t>
      </w:r>
      <w:r>
        <w:rPr>
          <w:b/>
          <w:bCs/>
          <w:sz w:val="18"/>
          <w:szCs w:val="18"/>
        </w:rPr>
        <w:t xml:space="preserve">Source: </w:t>
      </w:r>
      <w:r>
        <w:rPr>
          <w:b/>
          <w:bCs/>
          <w:color w:val="000000"/>
          <w:sz w:val="18"/>
          <w:szCs w:val="18"/>
        </w:rPr>
        <w:t xml:space="preserve">Palestinian Central Bureau of Statistics, </w:t>
      </w:r>
      <w:r w:rsidR="003F240A">
        <w:rPr>
          <w:b/>
          <w:bCs/>
          <w:color w:val="000000"/>
          <w:sz w:val="18"/>
          <w:szCs w:val="18"/>
        </w:rPr>
        <w:t>2012</w:t>
      </w:r>
      <w:r>
        <w:rPr>
          <w:b/>
          <w:bCs/>
          <w:color w:val="000000"/>
          <w:sz w:val="18"/>
          <w:szCs w:val="18"/>
        </w:rPr>
        <w:t xml:space="preserve">. </w:t>
      </w:r>
      <w:r>
        <w:rPr>
          <w:color w:val="000000"/>
          <w:sz w:val="18"/>
          <w:szCs w:val="18"/>
        </w:rPr>
        <w:t xml:space="preserve">Revised  estimate  based on the final results of Population, </w:t>
      </w:r>
      <w:r w:rsidR="00415185">
        <w:rPr>
          <w:color w:val="000000"/>
          <w:sz w:val="18"/>
          <w:szCs w:val="18"/>
        </w:rPr>
        <w:t xml:space="preserve"> </w:t>
      </w:r>
      <w:r>
        <w:rPr>
          <w:color w:val="000000"/>
          <w:sz w:val="18"/>
          <w:szCs w:val="18"/>
        </w:rPr>
        <w:t>Housing and Establishment Census 2007</w:t>
      </w:r>
      <w:r w:rsidRPr="00980BDF">
        <w:rPr>
          <w:b/>
          <w:bCs/>
          <w:color w:val="000000"/>
          <w:sz w:val="18"/>
          <w:szCs w:val="18"/>
        </w:rPr>
        <w:t>. Ramallah-Palestine</w:t>
      </w:r>
      <w:r w:rsidRPr="00980BDF">
        <w:rPr>
          <w:rFonts w:hint="cs"/>
          <w:b/>
          <w:bCs/>
          <w:color w:val="000000"/>
          <w:sz w:val="18"/>
          <w:szCs w:val="18"/>
          <w:rtl/>
        </w:rPr>
        <w:t xml:space="preserve">    </w:t>
      </w:r>
      <w:r w:rsidRPr="00980BDF">
        <w:rPr>
          <w:b/>
          <w:bCs/>
          <w:color w:val="000000"/>
          <w:sz w:val="18"/>
          <w:szCs w:val="18"/>
        </w:rPr>
        <w:br/>
      </w:r>
    </w:p>
    <w:p w:rsidR="0010412C" w:rsidRDefault="00A81168" w:rsidP="00EA4EC5">
      <w:pPr>
        <w:bidi w:val="0"/>
        <w:jc w:val="lowKashida"/>
        <w:rPr>
          <w:color w:val="000000"/>
        </w:rPr>
      </w:pPr>
      <w:r>
        <w:rPr>
          <w:color w:val="000000"/>
        </w:rPr>
        <w:t xml:space="preserve">The decline in the rates of mortality and the stability of high fertility rates lead to a high natural increase rate of population, which requires appropriate economic and social policies to confront the implications of this increase. It has been estimated by the PCBS that the rate of </w:t>
      </w:r>
      <w:r>
        <w:rPr>
          <w:color w:val="000000"/>
        </w:rPr>
        <w:lastRenderedPageBreak/>
        <w:t>natural increase in the population of the Palestinian Territory was 2.9% in mid 2</w:t>
      </w:r>
      <w:r w:rsidR="003F240A">
        <w:rPr>
          <w:color w:val="000000"/>
        </w:rPr>
        <w:t>011</w:t>
      </w:r>
      <w:r>
        <w:rPr>
          <w:color w:val="000000"/>
        </w:rPr>
        <w:t>. This is one of the highest rates in the world, since the average annual rate does not exceed 1.2%.  The growth in the West Bank was estimated mid-</w:t>
      </w:r>
      <w:r w:rsidR="003F240A">
        <w:rPr>
          <w:color w:val="000000"/>
        </w:rPr>
        <w:t>2011</w:t>
      </w:r>
      <w:r>
        <w:rPr>
          <w:color w:val="000000"/>
        </w:rPr>
        <w:t xml:space="preserve"> at 2.</w:t>
      </w:r>
      <w:r w:rsidR="003F240A">
        <w:rPr>
          <w:color w:val="000000"/>
        </w:rPr>
        <w:t>6</w:t>
      </w:r>
      <w:r>
        <w:rPr>
          <w:color w:val="000000"/>
        </w:rPr>
        <w:t xml:space="preserve">% versus 3.3% in the Gaza Strip. </w:t>
      </w:r>
    </w:p>
    <w:p w:rsidR="0010412C" w:rsidRDefault="00A81168" w:rsidP="00C83D7D">
      <w:pPr>
        <w:bidi w:val="0"/>
        <w:jc w:val="both"/>
        <w:rPr>
          <w:b/>
          <w:bCs/>
          <w:color w:val="000000"/>
          <w:lang w:bidi="ar-JO"/>
        </w:rPr>
      </w:pPr>
      <w:r>
        <w:rPr>
          <w:color w:val="000000"/>
        </w:rPr>
        <w:br/>
      </w:r>
      <w:r>
        <w:rPr>
          <w:b/>
          <w:bCs/>
          <w:color w:val="000000"/>
          <w:lang w:bidi="ar-JO"/>
        </w:rPr>
        <w:t>1.2 Birth Rates</w:t>
      </w:r>
    </w:p>
    <w:p w:rsidR="0010412C" w:rsidRDefault="00503F54">
      <w:pPr>
        <w:bidi w:val="0"/>
        <w:jc w:val="both"/>
        <w:rPr>
          <w:color w:val="000000"/>
          <w:lang w:bidi="ar-JO"/>
        </w:rPr>
      </w:pPr>
      <w:r w:rsidRPr="00503F54">
        <w:rPr>
          <w:noProof/>
          <w:color w:val="000000"/>
          <w:sz w:val="20"/>
          <w:lang w:val="ar-SA"/>
        </w:rPr>
        <w:pict>
          <v:rect id="_x0000_s1048" style="position:absolute;left:0;text-align:left;margin-left:0;margin-top:5.3pt;width:459pt;height:70.5pt;z-index:251657216">
            <v:textbox style="mso-next-textbox:#_x0000_s1048">
              <w:txbxContent>
                <w:p w:rsidR="0010412C" w:rsidRDefault="00A81168">
                  <w:pPr>
                    <w:bidi w:val="0"/>
                    <w:jc w:val="lowKashida"/>
                    <w:rPr>
                      <w:b/>
                      <w:bCs/>
                    </w:rPr>
                  </w:pPr>
                  <w:r>
                    <w:rPr>
                      <w:b/>
                      <w:bCs/>
                      <w:i/>
                      <w:iCs/>
                    </w:rPr>
                    <w:t>The child shall be registered immediately after birth and shall have the right from birth to a name, the right to acquire a nationality and, as far as possible, the right to know and be cared for by his or her parents</w:t>
                  </w:r>
                  <w:r>
                    <w:rPr>
                      <w:b/>
                      <w:bCs/>
                    </w:rPr>
                    <w:t xml:space="preserve">.                         </w:t>
                  </w:r>
                </w:p>
                <w:p w:rsidR="0010412C" w:rsidRDefault="00A81168">
                  <w:pPr>
                    <w:jc w:val="lowKashida"/>
                    <w:rPr>
                      <w:sz w:val="22"/>
                      <w:szCs w:val="22"/>
                    </w:rPr>
                  </w:pPr>
                  <w:r>
                    <w:t xml:space="preserve">                                                                         </w:t>
                  </w:r>
                  <w:r>
                    <w:rPr>
                      <w:i/>
                      <w:iCs/>
                      <w:sz w:val="22"/>
                      <w:szCs w:val="22"/>
                    </w:rPr>
                    <w:t>(Convention on the Rights of the Child,, Article 7)</w:t>
                  </w:r>
                </w:p>
              </w:txbxContent>
            </v:textbox>
          </v:rect>
        </w:pict>
      </w:r>
    </w:p>
    <w:p w:rsidR="0010412C" w:rsidRDefault="0010412C">
      <w:pPr>
        <w:bidi w:val="0"/>
        <w:jc w:val="both"/>
        <w:rPr>
          <w:color w:val="000000"/>
          <w:lang w:bidi="ar-JO"/>
        </w:rPr>
      </w:pPr>
    </w:p>
    <w:p w:rsidR="0010412C" w:rsidRDefault="0010412C">
      <w:pPr>
        <w:bidi w:val="0"/>
        <w:jc w:val="both"/>
        <w:rPr>
          <w:color w:val="000000"/>
          <w:lang w:bidi="ar-JO"/>
        </w:rPr>
      </w:pPr>
    </w:p>
    <w:p w:rsidR="0010412C" w:rsidRDefault="0010412C">
      <w:pPr>
        <w:bidi w:val="0"/>
        <w:jc w:val="both"/>
        <w:rPr>
          <w:color w:val="000000"/>
          <w:lang w:bidi="ar-JO"/>
        </w:rPr>
      </w:pPr>
    </w:p>
    <w:p w:rsidR="0010412C" w:rsidRDefault="0010412C">
      <w:pPr>
        <w:bidi w:val="0"/>
        <w:jc w:val="both"/>
        <w:rPr>
          <w:color w:val="000000"/>
          <w:lang w:bidi="ar-JO"/>
        </w:rPr>
      </w:pPr>
    </w:p>
    <w:p w:rsidR="0010412C" w:rsidRDefault="0010412C">
      <w:pPr>
        <w:bidi w:val="0"/>
        <w:jc w:val="both"/>
        <w:rPr>
          <w:color w:val="000000"/>
          <w:lang w:bidi="ar-JO"/>
        </w:rPr>
      </w:pPr>
    </w:p>
    <w:p w:rsidR="0010412C" w:rsidRDefault="0010412C">
      <w:pPr>
        <w:bidi w:val="0"/>
        <w:jc w:val="center"/>
        <w:rPr>
          <w:b/>
          <w:bCs/>
          <w:color w:val="000000"/>
        </w:rPr>
      </w:pPr>
    </w:p>
    <w:p w:rsidR="0010412C" w:rsidRDefault="00A81168" w:rsidP="00294151">
      <w:pPr>
        <w:bidi w:val="0"/>
        <w:jc w:val="center"/>
        <w:rPr>
          <w:b/>
          <w:bCs/>
          <w:color w:val="000000"/>
          <w:sz w:val="22"/>
          <w:szCs w:val="22"/>
        </w:rPr>
      </w:pPr>
      <w:r>
        <w:rPr>
          <w:b/>
          <w:bCs/>
          <w:color w:val="000000"/>
          <w:sz w:val="22"/>
          <w:szCs w:val="22"/>
        </w:rPr>
        <w:t xml:space="preserve">Figure (1-3): Estimated crude birth rates by </w:t>
      </w:r>
      <w:r w:rsidR="005A5519">
        <w:rPr>
          <w:b/>
          <w:bCs/>
          <w:color w:val="000000"/>
          <w:sz w:val="22"/>
          <w:szCs w:val="22"/>
        </w:rPr>
        <w:t>r</w:t>
      </w:r>
      <w:r>
        <w:rPr>
          <w:b/>
          <w:bCs/>
          <w:color w:val="000000"/>
          <w:sz w:val="22"/>
          <w:szCs w:val="22"/>
        </w:rPr>
        <w:t>egion</w:t>
      </w:r>
      <w:r w:rsidR="00294151">
        <w:rPr>
          <w:b/>
          <w:bCs/>
          <w:color w:val="000000"/>
          <w:sz w:val="22"/>
          <w:szCs w:val="22"/>
        </w:rPr>
        <w:t xml:space="preserve"> in </w:t>
      </w:r>
      <w:r w:rsidR="005A5519">
        <w:rPr>
          <w:b/>
          <w:bCs/>
          <w:color w:val="000000"/>
          <w:sz w:val="22"/>
          <w:szCs w:val="22"/>
        </w:rPr>
        <w:t>s</w:t>
      </w:r>
      <w:r>
        <w:rPr>
          <w:b/>
          <w:bCs/>
          <w:color w:val="000000"/>
          <w:sz w:val="22"/>
          <w:szCs w:val="22"/>
        </w:rPr>
        <w:t xml:space="preserve">elected </w:t>
      </w:r>
      <w:r w:rsidR="005A5519">
        <w:rPr>
          <w:b/>
          <w:bCs/>
          <w:color w:val="000000"/>
          <w:sz w:val="22"/>
          <w:szCs w:val="22"/>
        </w:rPr>
        <w:t>y</w:t>
      </w:r>
      <w:r>
        <w:rPr>
          <w:b/>
          <w:bCs/>
          <w:color w:val="000000"/>
          <w:sz w:val="22"/>
          <w:szCs w:val="22"/>
        </w:rPr>
        <w:t>ears</w:t>
      </w:r>
    </w:p>
    <w:p w:rsidR="0010412C" w:rsidRDefault="00A81168">
      <w:pPr>
        <w:bidi w:val="0"/>
        <w:jc w:val="both"/>
        <w:rPr>
          <w:color w:val="000000"/>
          <w:lang w:bidi="ar-JO"/>
        </w:rPr>
      </w:pPr>
      <w:r>
        <w:rPr>
          <w:rFonts w:cs="Simplified Arabic"/>
          <w:noProof/>
          <w:color w:val="008080"/>
          <w:rtl/>
          <w:lang w:eastAsia="en-US"/>
        </w:rPr>
        <w:drawing>
          <wp:inline distT="0" distB="0" distL="0" distR="0">
            <wp:extent cx="5753100" cy="2762250"/>
            <wp:effectExtent l="57150" t="0" r="76200" b="9525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0412C" w:rsidRDefault="00A81168" w:rsidP="003F240A">
      <w:pPr>
        <w:bidi w:val="0"/>
        <w:jc w:val="both"/>
        <w:rPr>
          <w:color w:val="000000"/>
          <w:sz w:val="18"/>
          <w:szCs w:val="18"/>
          <w:rtl/>
        </w:rPr>
      </w:pPr>
      <w:r>
        <w:rPr>
          <w:b/>
          <w:bCs/>
          <w:sz w:val="18"/>
          <w:szCs w:val="18"/>
        </w:rPr>
        <w:t xml:space="preserve">Source: </w:t>
      </w:r>
      <w:r>
        <w:rPr>
          <w:b/>
          <w:bCs/>
          <w:color w:val="000000"/>
          <w:sz w:val="18"/>
          <w:szCs w:val="18"/>
        </w:rPr>
        <w:t xml:space="preserve">Palestinian Central Bureau of Statistics, </w:t>
      </w:r>
      <w:r w:rsidR="003F240A">
        <w:rPr>
          <w:b/>
          <w:bCs/>
          <w:color w:val="000000"/>
          <w:sz w:val="18"/>
          <w:szCs w:val="18"/>
        </w:rPr>
        <w:t>2012</w:t>
      </w:r>
      <w:r>
        <w:rPr>
          <w:b/>
          <w:bCs/>
          <w:color w:val="000000"/>
          <w:sz w:val="18"/>
          <w:szCs w:val="18"/>
        </w:rPr>
        <w:t xml:space="preserve">. </w:t>
      </w:r>
      <w:r>
        <w:rPr>
          <w:color w:val="000000"/>
          <w:sz w:val="18"/>
          <w:szCs w:val="18"/>
        </w:rPr>
        <w:t xml:space="preserve">Revised  estimate  based on the final results of Population, Housing and Establishment Census 2007. </w:t>
      </w:r>
      <w:r w:rsidRPr="00980BDF">
        <w:rPr>
          <w:b/>
          <w:bCs/>
          <w:color w:val="000000"/>
          <w:sz w:val="18"/>
          <w:szCs w:val="18"/>
        </w:rPr>
        <w:t>Ramallah-Palestine</w:t>
      </w:r>
      <w:r>
        <w:rPr>
          <w:rFonts w:hint="cs"/>
          <w:color w:val="000000"/>
          <w:sz w:val="18"/>
          <w:szCs w:val="18"/>
          <w:rtl/>
        </w:rPr>
        <w:t xml:space="preserve">    </w:t>
      </w:r>
    </w:p>
    <w:p w:rsidR="0010412C" w:rsidRDefault="00A81168" w:rsidP="007F4639">
      <w:pPr>
        <w:bidi w:val="0"/>
        <w:jc w:val="both"/>
        <w:rPr>
          <w:color w:val="000000"/>
        </w:rPr>
      </w:pPr>
      <w:r>
        <w:rPr>
          <w:color w:val="000000"/>
        </w:rPr>
        <w:br/>
      </w:r>
      <w:r>
        <w:rPr>
          <w:color w:val="000000"/>
          <w:lang w:bidi="ar-JO"/>
        </w:rPr>
        <w:t xml:space="preserve">Birth rates are affected by many factors directly or indirectly such as: levels of fertility and birth, developed health services, the country's role in maternal and child health care. The total number of children, less than eighteen years old, reached </w:t>
      </w:r>
      <w:r w:rsidR="007F4639">
        <w:rPr>
          <w:color w:val="000000"/>
          <w:lang w:bidi="ar-JO"/>
        </w:rPr>
        <w:t>2</w:t>
      </w:r>
      <w:r>
        <w:rPr>
          <w:color w:val="000000"/>
          <w:lang w:bidi="ar-JO"/>
        </w:rPr>
        <w:t>.</w:t>
      </w:r>
      <w:r w:rsidR="007F4639">
        <w:rPr>
          <w:color w:val="000000"/>
          <w:lang w:bidi="ar-JO"/>
        </w:rPr>
        <w:t>01</w:t>
      </w:r>
      <w:r>
        <w:rPr>
          <w:color w:val="000000"/>
          <w:lang w:bidi="ar-JO"/>
        </w:rPr>
        <w:t xml:space="preserve"> million </w:t>
      </w:r>
      <w:r>
        <w:rPr>
          <w:color w:val="000000"/>
        </w:rPr>
        <w:t>in the Palestinian Territory</w:t>
      </w:r>
      <w:r>
        <w:rPr>
          <w:color w:val="000000"/>
          <w:lang w:bidi="ar-JO"/>
        </w:rPr>
        <w:t xml:space="preserve">  in </w:t>
      </w:r>
      <w:r w:rsidR="007F4639">
        <w:rPr>
          <w:color w:val="000000"/>
          <w:lang w:bidi="ar-JO"/>
        </w:rPr>
        <w:t>2011</w:t>
      </w:r>
      <w:r>
        <w:rPr>
          <w:color w:val="000000"/>
          <w:lang w:bidi="ar-JO"/>
        </w:rPr>
        <w:t xml:space="preserve">. The estimates </w:t>
      </w:r>
      <w:r>
        <w:rPr>
          <w:color w:val="000000"/>
        </w:rPr>
        <w:t xml:space="preserve">point to a decline in the crude birth rate during the last decade in the Palestinian Territory. The birth rate had been estimated at 42.7 births per one thousand of the population in 1997 and declined to 32.8 in </w:t>
      </w:r>
      <w:r w:rsidR="007F4639">
        <w:rPr>
          <w:color w:val="000000"/>
        </w:rPr>
        <w:t>2011</w:t>
      </w:r>
      <w:r>
        <w:rPr>
          <w:color w:val="000000"/>
        </w:rPr>
        <w:t xml:space="preserve">. This decline is greatly correlated with the decline in fertility levels, in addition to the beneficial application of the health programs concerning reproductive health. There is discrepancy in the crude birth rate in </w:t>
      </w:r>
      <w:r w:rsidR="007F4639">
        <w:rPr>
          <w:color w:val="000000"/>
        </w:rPr>
        <w:t>2011</w:t>
      </w:r>
      <w:r>
        <w:rPr>
          <w:color w:val="000000"/>
        </w:rPr>
        <w:t xml:space="preserve"> in both the West Bank and Gaza Strip, which was 30.1 and 37.</w:t>
      </w:r>
      <w:r w:rsidR="007F4639">
        <w:rPr>
          <w:color w:val="000000"/>
        </w:rPr>
        <w:t>2</w:t>
      </w:r>
      <w:r>
        <w:rPr>
          <w:color w:val="000000"/>
        </w:rPr>
        <w:t xml:space="preserve"> respectively.</w:t>
      </w:r>
    </w:p>
    <w:p w:rsidR="0010412C" w:rsidRDefault="0010412C">
      <w:pPr>
        <w:bidi w:val="0"/>
        <w:jc w:val="both"/>
        <w:rPr>
          <w:b/>
          <w:bCs/>
          <w:color w:val="000000"/>
          <w:rtl/>
        </w:rPr>
      </w:pPr>
    </w:p>
    <w:p w:rsidR="0010412C" w:rsidRDefault="00A81168">
      <w:pPr>
        <w:bidi w:val="0"/>
        <w:jc w:val="both"/>
        <w:rPr>
          <w:b/>
          <w:bCs/>
          <w:color w:val="000000"/>
          <w:rtl/>
        </w:rPr>
      </w:pPr>
      <w:r>
        <w:rPr>
          <w:b/>
          <w:bCs/>
          <w:color w:val="000000"/>
        </w:rPr>
        <w:t>1.3  Mortality</w:t>
      </w:r>
    </w:p>
    <w:p w:rsidR="0010412C" w:rsidRDefault="00503F54">
      <w:pPr>
        <w:bidi w:val="0"/>
        <w:jc w:val="both"/>
        <w:rPr>
          <w:color w:val="000000"/>
        </w:rPr>
      </w:pPr>
      <w:r w:rsidRPr="00503F54">
        <w:rPr>
          <w:noProof/>
          <w:color w:val="000000"/>
          <w:sz w:val="20"/>
          <w:lang w:val="ar-SA"/>
        </w:rPr>
        <w:pict>
          <v:rect id="_x0000_s1049" style="position:absolute;left:0;text-align:left;margin-left:0;margin-top:12.95pt;width:459pt;height:81.3pt;z-index:251658240">
            <v:textbox style="mso-next-textbox:#_x0000_s1049">
              <w:txbxContent>
                <w:p w:rsidR="0010412C" w:rsidRDefault="00A81168">
                  <w:pPr>
                    <w:bidi w:val="0"/>
                    <w:jc w:val="lowKashida"/>
                  </w:pPr>
                  <w:r>
                    <w:rPr>
                      <w:b/>
                      <w:bCs/>
                      <w:i/>
                      <w:iCs/>
                    </w:rPr>
                    <w:t>State Parties recognize the right of the child to the enjoyment of the highest attainable standard of health and to facilities for the treatment of illness and rehabilitation of health. State Parties shall strive to ensure that no child is deprived of his or her right to access to such health care services.</w:t>
                  </w:r>
                  <w:r>
                    <w:t xml:space="preserve">         </w:t>
                  </w:r>
                </w:p>
                <w:p w:rsidR="0010412C" w:rsidRDefault="00A81168">
                  <w:pPr>
                    <w:jc w:val="lowKashida"/>
                    <w:rPr>
                      <w:i/>
                      <w:iCs/>
                      <w:sz w:val="22"/>
                      <w:szCs w:val="22"/>
                    </w:rPr>
                  </w:pPr>
                  <w:r>
                    <w:t xml:space="preserve">                                                                      </w:t>
                  </w:r>
                  <w:r>
                    <w:rPr>
                      <w:i/>
                      <w:iCs/>
                      <w:sz w:val="22"/>
                      <w:szCs w:val="22"/>
                    </w:rPr>
                    <w:t>(Convention on the Rights of the Child,, Article 24)</w:t>
                  </w:r>
                </w:p>
              </w:txbxContent>
            </v:textbox>
          </v:rect>
        </w:pict>
      </w:r>
    </w:p>
    <w:p w:rsidR="0010412C" w:rsidRDefault="0010412C">
      <w:pPr>
        <w:bidi w:val="0"/>
        <w:jc w:val="both"/>
        <w:rPr>
          <w:color w:val="000000"/>
        </w:rPr>
      </w:pPr>
    </w:p>
    <w:p w:rsidR="0010412C" w:rsidRDefault="0010412C">
      <w:pPr>
        <w:bidi w:val="0"/>
        <w:jc w:val="both"/>
        <w:rPr>
          <w:color w:val="000000"/>
        </w:rPr>
      </w:pPr>
    </w:p>
    <w:p w:rsidR="0010412C" w:rsidRDefault="0010412C">
      <w:pPr>
        <w:bidi w:val="0"/>
        <w:jc w:val="both"/>
        <w:rPr>
          <w:color w:val="000000"/>
        </w:rPr>
      </w:pPr>
    </w:p>
    <w:p w:rsidR="0010412C" w:rsidRDefault="0010412C">
      <w:pPr>
        <w:bidi w:val="0"/>
        <w:jc w:val="both"/>
        <w:rPr>
          <w:color w:val="000000"/>
        </w:rPr>
      </w:pPr>
    </w:p>
    <w:p w:rsidR="00D16581" w:rsidRDefault="00D16581" w:rsidP="00D16581">
      <w:pPr>
        <w:bidi w:val="0"/>
        <w:jc w:val="both"/>
        <w:rPr>
          <w:color w:val="000000"/>
        </w:rPr>
      </w:pPr>
    </w:p>
    <w:p w:rsidR="0010412C" w:rsidRDefault="00A81168" w:rsidP="00BD6EC0">
      <w:pPr>
        <w:pStyle w:val="BodyText3"/>
        <w:jc w:val="lowKashida"/>
      </w:pPr>
      <w:r>
        <w:lastRenderedPageBreak/>
        <w:t>The available data point out that the mortality level is relatively low compared with the current mortality rates in the Arab countries. The crude mortality rate has declined in the Palestinian Territory from 4.9 per one thousand in 1997 to 4.</w:t>
      </w:r>
      <w:r w:rsidR="00BD6EC0">
        <w:t>0</w:t>
      </w:r>
      <w:r>
        <w:t xml:space="preserve"> per one thousand in </w:t>
      </w:r>
      <w:r w:rsidR="00BD6EC0">
        <w:t>2011</w:t>
      </w:r>
      <w:r>
        <w:t>, while there is a difference in the crude mortality rate for each of the West Bank and Gaza Strip. The estimated rate of crude mortality in the West Bank reached 5.1 per one thousand in 1997 and declined to 4.</w:t>
      </w:r>
      <w:r w:rsidR="00BD6EC0">
        <w:t>1</w:t>
      </w:r>
      <w:r>
        <w:t xml:space="preserve"> per one thousand in </w:t>
      </w:r>
      <w:r w:rsidR="00BD6EC0">
        <w:t>2011</w:t>
      </w:r>
      <w:r>
        <w:t xml:space="preserve">; while the crude mortality rate was estimated in the Gaza Strip at 4.7 per one thousand in 1997 and  declined to </w:t>
      </w:r>
      <w:r w:rsidR="00BD6EC0">
        <w:t>3</w:t>
      </w:r>
      <w:r>
        <w:t>.</w:t>
      </w:r>
      <w:r w:rsidR="00BD6EC0">
        <w:t>9</w:t>
      </w:r>
      <w:r>
        <w:t xml:space="preserve"> per one thousand in </w:t>
      </w:r>
      <w:r w:rsidR="00BD6EC0">
        <w:t>2011</w:t>
      </w:r>
      <w:r>
        <w:t>. This indicates improvement in the quality of life, opportunities for receiving medical services, improvement in health awareness among the population and improvement in health services.</w:t>
      </w:r>
    </w:p>
    <w:p w:rsidR="0010412C" w:rsidRDefault="0010412C">
      <w:pPr>
        <w:bidi w:val="0"/>
        <w:jc w:val="center"/>
        <w:rPr>
          <w:b/>
          <w:bCs/>
          <w:color w:val="000000"/>
        </w:rPr>
      </w:pPr>
    </w:p>
    <w:p w:rsidR="0010412C" w:rsidRDefault="00A81168" w:rsidP="000732DC">
      <w:pPr>
        <w:jc w:val="center"/>
        <w:rPr>
          <w:rFonts w:cs="Simplified Arabic"/>
          <w:b/>
          <w:bCs/>
          <w:rtl/>
          <w:lang w:eastAsia="en-US"/>
        </w:rPr>
      </w:pPr>
      <w:r>
        <w:rPr>
          <w:b/>
          <w:bCs/>
          <w:color w:val="000000"/>
          <w:sz w:val="22"/>
          <w:szCs w:val="22"/>
        </w:rPr>
        <w:t xml:space="preserve">Figure (1-4): </w:t>
      </w:r>
      <w:bookmarkStart w:id="0" w:name="OLE_LINK4"/>
      <w:r>
        <w:rPr>
          <w:b/>
          <w:bCs/>
          <w:color w:val="000000"/>
          <w:sz w:val="22"/>
          <w:szCs w:val="22"/>
        </w:rPr>
        <w:t xml:space="preserve">Estimated crude mortality rates </w:t>
      </w:r>
      <w:bookmarkEnd w:id="0"/>
      <w:r>
        <w:rPr>
          <w:b/>
          <w:bCs/>
          <w:color w:val="000000"/>
          <w:sz w:val="22"/>
          <w:szCs w:val="22"/>
        </w:rPr>
        <w:t xml:space="preserve">by </w:t>
      </w:r>
      <w:r w:rsidR="005A5519">
        <w:rPr>
          <w:b/>
          <w:bCs/>
          <w:color w:val="000000"/>
          <w:sz w:val="22"/>
          <w:szCs w:val="22"/>
        </w:rPr>
        <w:t>r</w:t>
      </w:r>
      <w:r>
        <w:rPr>
          <w:b/>
          <w:bCs/>
          <w:color w:val="000000"/>
          <w:sz w:val="22"/>
          <w:szCs w:val="22"/>
        </w:rPr>
        <w:t>egion</w:t>
      </w:r>
      <w:r w:rsidR="000732DC">
        <w:rPr>
          <w:b/>
          <w:bCs/>
          <w:color w:val="000000"/>
          <w:sz w:val="22"/>
          <w:szCs w:val="22"/>
        </w:rPr>
        <w:t xml:space="preserve"> in </w:t>
      </w:r>
      <w:r w:rsidR="005A5519">
        <w:rPr>
          <w:b/>
          <w:bCs/>
          <w:color w:val="000000"/>
          <w:sz w:val="22"/>
          <w:szCs w:val="22"/>
        </w:rPr>
        <w:t>s</w:t>
      </w:r>
      <w:r>
        <w:rPr>
          <w:b/>
          <w:bCs/>
          <w:color w:val="000000"/>
          <w:sz w:val="22"/>
          <w:szCs w:val="22"/>
        </w:rPr>
        <w:t xml:space="preserve">elected </w:t>
      </w:r>
      <w:r w:rsidR="005A5519">
        <w:rPr>
          <w:b/>
          <w:bCs/>
          <w:color w:val="000000"/>
          <w:sz w:val="22"/>
          <w:szCs w:val="22"/>
        </w:rPr>
        <w:t>y</w:t>
      </w:r>
      <w:r>
        <w:rPr>
          <w:b/>
          <w:bCs/>
          <w:color w:val="000000"/>
          <w:sz w:val="22"/>
          <w:szCs w:val="22"/>
        </w:rPr>
        <w:t>ears</w:t>
      </w:r>
      <w:r>
        <w:rPr>
          <w:rFonts w:cs="Simplified Arabic"/>
          <w:color w:val="008080"/>
          <w:rtl/>
        </w:rPr>
        <w:t xml:space="preserve"> </w:t>
      </w:r>
      <w:r w:rsidRPr="00D539AA">
        <w:rPr>
          <w:rFonts w:cs="Simplified Arabic"/>
          <w:noProof/>
          <w:color w:val="008080"/>
          <w:sz w:val="18"/>
          <w:szCs w:val="18"/>
          <w:rtl/>
          <w:lang w:eastAsia="en-US"/>
        </w:rPr>
        <w:drawing>
          <wp:inline distT="0" distB="0" distL="0" distR="0">
            <wp:extent cx="5753100" cy="2762250"/>
            <wp:effectExtent l="57150" t="0" r="76200" b="9525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0412C" w:rsidRDefault="00A81168" w:rsidP="00BD6EC0">
      <w:pPr>
        <w:bidi w:val="0"/>
        <w:rPr>
          <w:color w:val="000000"/>
        </w:rPr>
      </w:pPr>
      <w:bookmarkStart w:id="1" w:name="OLE_LINK5"/>
      <w:r>
        <w:rPr>
          <w:b/>
          <w:bCs/>
          <w:sz w:val="18"/>
          <w:szCs w:val="18"/>
        </w:rPr>
        <w:t xml:space="preserve">Source: Palestinian Central Bureau of Statistics, </w:t>
      </w:r>
      <w:r w:rsidR="00BD6EC0">
        <w:rPr>
          <w:b/>
          <w:bCs/>
          <w:sz w:val="18"/>
          <w:szCs w:val="18"/>
        </w:rPr>
        <w:t>2012</w:t>
      </w:r>
      <w:r>
        <w:rPr>
          <w:b/>
          <w:bCs/>
          <w:sz w:val="18"/>
          <w:szCs w:val="18"/>
        </w:rPr>
        <w:t xml:space="preserve">. </w:t>
      </w:r>
      <w:r>
        <w:rPr>
          <w:sz w:val="18"/>
          <w:szCs w:val="18"/>
        </w:rPr>
        <w:t>Revised  estimate</w:t>
      </w:r>
      <w:r w:rsidR="008C274D">
        <w:rPr>
          <w:sz w:val="18"/>
          <w:szCs w:val="18"/>
        </w:rPr>
        <w:t>s</w:t>
      </w:r>
      <w:r>
        <w:rPr>
          <w:sz w:val="18"/>
          <w:szCs w:val="18"/>
        </w:rPr>
        <w:t xml:space="preserve">  based on the final results of Population, Housing and Establishment Census 2007. </w:t>
      </w:r>
      <w:r w:rsidRPr="00D539AA">
        <w:rPr>
          <w:b/>
          <w:bCs/>
          <w:sz w:val="18"/>
          <w:szCs w:val="18"/>
        </w:rPr>
        <w:t>Ramallah-Palestine</w:t>
      </w:r>
      <w:r>
        <w:rPr>
          <w:rFonts w:hint="cs"/>
          <w:b/>
          <w:bCs/>
          <w:sz w:val="20"/>
          <w:szCs w:val="20"/>
          <w:rtl/>
        </w:rPr>
        <w:t xml:space="preserve">    </w:t>
      </w:r>
      <w:r>
        <w:rPr>
          <w:b/>
          <w:bCs/>
          <w:sz w:val="20"/>
          <w:szCs w:val="20"/>
        </w:rPr>
        <w:br/>
      </w:r>
    </w:p>
    <w:bookmarkEnd w:id="1"/>
    <w:p w:rsidR="0010412C" w:rsidRDefault="0010412C"/>
    <w:p w:rsidR="0010412C" w:rsidRDefault="00A81168">
      <w:pPr>
        <w:pStyle w:val="Heading9"/>
      </w:pPr>
      <w:r>
        <w:t>1.4 Early Marriage</w:t>
      </w:r>
    </w:p>
    <w:p w:rsidR="0010412C" w:rsidRDefault="00A81168" w:rsidP="00D16581">
      <w:pPr>
        <w:bidi w:val="0"/>
        <w:jc w:val="lowKashida"/>
        <w:rPr>
          <w:rStyle w:val="longtext1"/>
          <w:rFonts w:ascii="Arial" w:hAnsi="Arial" w:cs="Arial"/>
          <w:shd w:val="clear" w:color="auto" w:fill="FFFFFF"/>
        </w:rPr>
      </w:pPr>
      <w:r>
        <w:t xml:space="preserve">Marriage in any society has social and economic dimensions as well as dimensions reflecting the level of civilization. Data on marriage and divorce in West Bank in 1997 showed a widespread phenomenon of early marriage especially among females. The median age of females at first marriage was 18.0 years, and 23.0 years for males in 1997, whereas the  median age at first marriage in the West Bank was </w:t>
      </w:r>
      <w:r w:rsidR="00232596">
        <w:t>20</w:t>
      </w:r>
      <w:r>
        <w:t>.</w:t>
      </w:r>
      <w:r w:rsidR="00232596">
        <w:t>1</w:t>
      </w:r>
      <w:r>
        <w:t xml:space="preserve"> and 25.4 years for females and males respectively, in </w:t>
      </w:r>
      <w:r w:rsidR="00232596">
        <w:t>2010</w:t>
      </w:r>
      <w:r>
        <w:t>. The mean age of marriage among those who have a bachelor or higher degree was 2</w:t>
      </w:r>
      <w:r w:rsidR="00232596">
        <w:t>3</w:t>
      </w:r>
      <w:r>
        <w:t>.</w:t>
      </w:r>
      <w:r w:rsidR="00D16581">
        <w:t xml:space="preserve">7 </w:t>
      </w:r>
      <w:r>
        <w:t>years for females and 2</w:t>
      </w:r>
      <w:r w:rsidR="00232596">
        <w:t>6</w:t>
      </w:r>
      <w:r>
        <w:t>.</w:t>
      </w:r>
      <w:r w:rsidR="00232596">
        <w:t>8</w:t>
      </w:r>
      <w:r>
        <w:t xml:space="preserve"> years for males in the West Bank in </w:t>
      </w:r>
      <w:r w:rsidR="00232596">
        <w:t>2010</w:t>
      </w:r>
      <w:r>
        <w:t xml:space="preserve">. This reflects the role of education in reducing early marriage among Palestinians. The mean age of marriage for those who have a preparatory certificate only was </w:t>
      </w:r>
      <w:r w:rsidR="00232596">
        <w:t>16</w:t>
      </w:r>
      <w:r>
        <w:t>.</w:t>
      </w:r>
      <w:r w:rsidR="00232596">
        <w:t>9</w:t>
      </w:r>
      <w:r>
        <w:t xml:space="preserve"> for females and 24.</w:t>
      </w:r>
      <w:r w:rsidR="00232596">
        <w:t>5</w:t>
      </w:r>
      <w:r>
        <w:t xml:space="preserve"> for males.</w:t>
      </w:r>
      <w:r>
        <w:rPr>
          <w:rStyle w:val="longtext1"/>
          <w:rFonts w:ascii="Arial" w:hAnsi="Arial" w:cs="Arial"/>
          <w:shd w:val="clear" w:color="auto" w:fill="FFFFFF"/>
        </w:rPr>
        <w:t xml:space="preserve"> </w:t>
      </w:r>
    </w:p>
    <w:p w:rsidR="0010412C" w:rsidRDefault="0010412C">
      <w:pPr>
        <w:bidi w:val="0"/>
        <w:jc w:val="lowKashida"/>
        <w:rPr>
          <w:rStyle w:val="longtext1"/>
          <w:rFonts w:ascii="Arial" w:hAnsi="Arial" w:cs="Arial"/>
          <w:shd w:val="clear" w:color="auto" w:fill="FFFFFF"/>
        </w:rPr>
      </w:pPr>
    </w:p>
    <w:p w:rsidR="0010412C" w:rsidRDefault="00A81168" w:rsidP="00EA4EC5">
      <w:pPr>
        <w:bidi w:val="0"/>
        <w:jc w:val="lowKashida"/>
      </w:pPr>
      <w:r>
        <w:t xml:space="preserve">Of all women who got married in </w:t>
      </w:r>
      <w:r w:rsidR="00232596">
        <w:t>2010</w:t>
      </w:r>
      <w:r w:rsidR="00EA4EC5">
        <w:t xml:space="preserve">, </w:t>
      </w:r>
      <w:r>
        <w:t>2</w:t>
      </w:r>
      <w:r w:rsidR="00232596">
        <w:t>1</w:t>
      </w:r>
      <w:r>
        <w:t>.</w:t>
      </w:r>
      <w:r w:rsidR="00232596">
        <w:t>8</w:t>
      </w:r>
      <w:r>
        <w:t>% were under the age of eighteen years</w:t>
      </w:r>
      <w:r>
        <w:rPr>
          <w:rFonts w:hint="cs"/>
          <w:rtl/>
        </w:rPr>
        <w:t xml:space="preserve">  </w:t>
      </w:r>
      <w:r>
        <w:t xml:space="preserve"> compared with 0.</w:t>
      </w:r>
      <w:r w:rsidR="00232596">
        <w:t>9</w:t>
      </w:r>
      <w:r>
        <w:t>% for males.</w:t>
      </w:r>
    </w:p>
    <w:p w:rsidR="0010412C" w:rsidRDefault="0010412C">
      <w:pPr>
        <w:bidi w:val="0"/>
        <w:jc w:val="lowKashida"/>
      </w:pPr>
    </w:p>
    <w:p w:rsidR="0010412C" w:rsidRDefault="0010412C">
      <w:pPr>
        <w:bidi w:val="0"/>
        <w:jc w:val="lowKashida"/>
      </w:pPr>
    </w:p>
    <w:p w:rsidR="0010412C" w:rsidRDefault="0010412C">
      <w:pPr>
        <w:bidi w:val="0"/>
        <w:jc w:val="lowKashida"/>
      </w:pPr>
    </w:p>
    <w:p w:rsidR="00EA4EC5" w:rsidRDefault="00EA4EC5" w:rsidP="00EA4EC5">
      <w:pPr>
        <w:bidi w:val="0"/>
        <w:jc w:val="lowKashida"/>
      </w:pPr>
    </w:p>
    <w:p w:rsidR="00EA4EC5" w:rsidRDefault="00EA4EC5" w:rsidP="00EA4EC5">
      <w:pPr>
        <w:bidi w:val="0"/>
        <w:jc w:val="lowKashida"/>
      </w:pPr>
    </w:p>
    <w:p w:rsidR="0010412C" w:rsidRDefault="00A81168">
      <w:pPr>
        <w:bidi w:val="0"/>
        <w:rPr>
          <w:b/>
          <w:bCs/>
          <w:color w:val="000000"/>
        </w:rPr>
      </w:pPr>
      <w:r>
        <w:rPr>
          <w:b/>
          <w:bCs/>
          <w:color w:val="000000"/>
        </w:rPr>
        <w:lastRenderedPageBreak/>
        <w:t>1.5 Fertility</w:t>
      </w:r>
    </w:p>
    <w:p w:rsidR="0010412C" w:rsidRDefault="0010412C">
      <w:pPr>
        <w:bidi w:val="0"/>
        <w:rPr>
          <w:b/>
          <w:bCs/>
          <w:color w:val="000000"/>
        </w:rPr>
      </w:pPr>
    </w:p>
    <w:p w:rsidR="0010412C" w:rsidRDefault="00A81168" w:rsidP="00507725">
      <w:pPr>
        <w:pStyle w:val="Heading7"/>
      </w:pPr>
      <w:r>
        <w:t xml:space="preserve">Current </w:t>
      </w:r>
      <w:r w:rsidR="00507725">
        <w:t>F</w:t>
      </w:r>
      <w:r>
        <w:t>ertility levels</w:t>
      </w:r>
    </w:p>
    <w:p w:rsidR="0010412C" w:rsidRDefault="00A81168" w:rsidP="001D6A13">
      <w:pPr>
        <w:pStyle w:val="BodyText3"/>
        <w:tabs>
          <w:tab w:val="right" w:pos="0"/>
          <w:tab w:val="right" w:pos="900"/>
          <w:tab w:val="right" w:pos="1980"/>
          <w:tab w:val="right" w:pos="4320"/>
          <w:tab w:val="right" w:pos="5220"/>
        </w:tabs>
        <w:jc w:val="lowKashida"/>
      </w:pPr>
      <w:r>
        <w:t xml:space="preserve">Data showed </w:t>
      </w:r>
      <w:r w:rsidR="008C274D">
        <w:t xml:space="preserve">specific </w:t>
      </w:r>
      <w:r>
        <w:t>age and total fertility rates (per thousand women) during the three years preceding the Family Survey in 2010, as is evident from the table and in accordance with current levels of birth, the Palestinian woman gives birth to 4.2 children throughout her reproductive life</w:t>
      </w:r>
      <w:r>
        <w:rPr>
          <w:rFonts w:hint="cs"/>
          <w:rtl/>
        </w:rPr>
        <w:t xml:space="preserve"> </w:t>
      </w:r>
      <w:r>
        <w:t xml:space="preserve">. As expected, the rates will not change significantly (decrease) during the coming period as the determinants of fertility interlace between levels of social and economic life in the Palestinian society and inter cultural concepts and traditions. The table indicates that the total fertility rate is higher in Gaza Strip than in the West Bank. </w:t>
      </w:r>
    </w:p>
    <w:p w:rsidR="0010412C" w:rsidRDefault="0010412C">
      <w:pPr>
        <w:pStyle w:val="BodyText3"/>
        <w:tabs>
          <w:tab w:val="right" w:pos="0"/>
          <w:tab w:val="right" w:pos="900"/>
          <w:tab w:val="right" w:pos="1980"/>
          <w:tab w:val="right" w:pos="4320"/>
          <w:tab w:val="right" w:pos="5220"/>
        </w:tabs>
        <w:jc w:val="lowKashida"/>
        <w:rPr>
          <w:b/>
          <w:bCs/>
        </w:rPr>
      </w:pPr>
    </w:p>
    <w:p w:rsidR="0010412C" w:rsidRDefault="00A81168" w:rsidP="00B83C04">
      <w:pPr>
        <w:tabs>
          <w:tab w:val="right" w:pos="0"/>
        </w:tabs>
        <w:bidi w:val="0"/>
        <w:jc w:val="center"/>
        <w:rPr>
          <w:b/>
          <w:bCs/>
          <w:color w:val="000000"/>
          <w:sz w:val="22"/>
          <w:szCs w:val="22"/>
        </w:rPr>
      </w:pPr>
      <w:r>
        <w:rPr>
          <w:b/>
          <w:bCs/>
          <w:color w:val="000000"/>
          <w:sz w:val="22"/>
          <w:szCs w:val="22"/>
        </w:rPr>
        <w:t>Table (1-1): Age specific and total fertility rates using the direct method  by region, 2010</w:t>
      </w:r>
    </w:p>
    <w:p w:rsidR="0010412C" w:rsidRPr="005A5519" w:rsidRDefault="0010412C">
      <w:pPr>
        <w:tabs>
          <w:tab w:val="right" w:pos="0"/>
        </w:tabs>
        <w:bidi w:val="0"/>
        <w:jc w:val="center"/>
        <w:rPr>
          <w:b/>
          <w:bCs/>
          <w:color w:val="000000"/>
          <w:sz w:val="18"/>
          <w:szCs w:val="18"/>
          <w:rtl/>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0"/>
        <w:gridCol w:w="2040"/>
        <w:gridCol w:w="2040"/>
        <w:gridCol w:w="2040"/>
      </w:tblGrid>
      <w:tr w:rsidR="0010412C">
        <w:trPr>
          <w:cantSplit/>
          <w:trHeight w:val="285"/>
        </w:trPr>
        <w:tc>
          <w:tcPr>
            <w:tcW w:w="2700" w:type="dxa"/>
            <w:vMerge w:val="restart"/>
          </w:tcPr>
          <w:p w:rsidR="0010412C" w:rsidRDefault="0010412C">
            <w:pPr>
              <w:bidi w:val="0"/>
              <w:jc w:val="center"/>
              <w:rPr>
                <w:rFonts w:ascii="Arial" w:hAnsi="Arial" w:cs="Arial"/>
                <w:b/>
                <w:bCs/>
                <w:color w:val="000000"/>
                <w:sz w:val="18"/>
                <w:szCs w:val="18"/>
              </w:rPr>
            </w:pPr>
          </w:p>
          <w:p w:rsidR="0010412C" w:rsidRDefault="00A81168">
            <w:pPr>
              <w:bidi w:val="0"/>
              <w:jc w:val="center"/>
              <w:rPr>
                <w:rFonts w:ascii="Arial" w:hAnsi="Arial" w:cs="Arial"/>
                <w:b/>
                <w:bCs/>
                <w:color w:val="000000"/>
                <w:sz w:val="18"/>
                <w:szCs w:val="18"/>
              </w:rPr>
            </w:pPr>
            <w:r>
              <w:rPr>
                <w:rFonts w:ascii="Arial" w:hAnsi="Arial" w:cs="Arial"/>
                <w:b/>
                <w:bCs/>
                <w:color w:val="000000"/>
                <w:sz w:val="18"/>
                <w:szCs w:val="18"/>
              </w:rPr>
              <w:t>Age group</w:t>
            </w:r>
          </w:p>
        </w:tc>
        <w:tc>
          <w:tcPr>
            <w:tcW w:w="6120" w:type="dxa"/>
            <w:gridSpan w:val="3"/>
          </w:tcPr>
          <w:p w:rsidR="0010412C" w:rsidRDefault="00A81168">
            <w:pPr>
              <w:bidi w:val="0"/>
              <w:jc w:val="center"/>
              <w:rPr>
                <w:rFonts w:ascii="Arial" w:hAnsi="Arial" w:cs="Arial"/>
                <w:b/>
                <w:bCs/>
                <w:color w:val="000000"/>
                <w:sz w:val="18"/>
                <w:szCs w:val="18"/>
              </w:rPr>
            </w:pPr>
            <w:r>
              <w:rPr>
                <w:rFonts w:ascii="Arial" w:hAnsi="Arial" w:cs="Arial"/>
                <w:b/>
                <w:bCs/>
                <w:color w:val="000000"/>
                <w:sz w:val="18"/>
                <w:szCs w:val="18"/>
              </w:rPr>
              <w:t>Region</w:t>
            </w:r>
          </w:p>
        </w:tc>
      </w:tr>
      <w:tr w:rsidR="0010412C">
        <w:trPr>
          <w:cantSplit/>
          <w:trHeight w:val="345"/>
        </w:trPr>
        <w:tc>
          <w:tcPr>
            <w:tcW w:w="2700" w:type="dxa"/>
            <w:vMerge/>
            <w:tcBorders>
              <w:bottom w:val="single" w:sz="4" w:space="0" w:color="auto"/>
            </w:tcBorders>
          </w:tcPr>
          <w:p w:rsidR="0010412C" w:rsidRDefault="0010412C">
            <w:pPr>
              <w:bidi w:val="0"/>
              <w:jc w:val="center"/>
              <w:rPr>
                <w:rFonts w:ascii="Arial" w:hAnsi="Arial" w:cs="Arial"/>
                <w:b/>
                <w:bCs/>
                <w:color w:val="000000"/>
                <w:sz w:val="22"/>
                <w:szCs w:val="22"/>
              </w:rPr>
            </w:pPr>
          </w:p>
        </w:tc>
        <w:tc>
          <w:tcPr>
            <w:tcW w:w="2040" w:type="dxa"/>
            <w:tcBorders>
              <w:bottom w:val="single" w:sz="4" w:space="0" w:color="auto"/>
            </w:tcBorders>
          </w:tcPr>
          <w:p w:rsidR="0010412C" w:rsidRDefault="00A81168">
            <w:pPr>
              <w:bidi w:val="0"/>
              <w:jc w:val="center"/>
              <w:rPr>
                <w:rFonts w:ascii="Arial" w:hAnsi="Arial" w:cs="Arial"/>
                <w:b/>
                <w:bCs/>
                <w:color w:val="000000"/>
                <w:sz w:val="18"/>
                <w:szCs w:val="18"/>
              </w:rPr>
            </w:pPr>
            <w:r>
              <w:rPr>
                <w:rFonts w:ascii="Arial" w:hAnsi="Arial" w:cs="Arial"/>
                <w:b/>
                <w:bCs/>
                <w:color w:val="000000"/>
                <w:sz w:val="18"/>
                <w:szCs w:val="18"/>
              </w:rPr>
              <w:t>Palestinian Territory</w:t>
            </w:r>
          </w:p>
        </w:tc>
        <w:tc>
          <w:tcPr>
            <w:tcW w:w="2040" w:type="dxa"/>
            <w:tcBorders>
              <w:bottom w:val="single" w:sz="4" w:space="0" w:color="auto"/>
            </w:tcBorders>
          </w:tcPr>
          <w:p w:rsidR="0010412C" w:rsidRDefault="00A81168">
            <w:pPr>
              <w:bidi w:val="0"/>
              <w:jc w:val="center"/>
              <w:rPr>
                <w:rFonts w:ascii="Arial" w:hAnsi="Arial" w:cs="Arial"/>
                <w:b/>
                <w:bCs/>
                <w:color w:val="000000"/>
                <w:sz w:val="18"/>
                <w:szCs w:val="18"/>
              </w:rPr>
            </w:pPr>
            <w:r>
              <w:rPr>
                <w:rFonts w:ascii="Arial" w:hAnsi="Arial" w:cs="Arial"/>
                <w:b/>
                <w:bCs/>
                <w:color w:val="000000"/>
                <w:sz w:val="18"/>
                <w:szCs w:val="18"/>
              </w:rPr>
              <w:t>West Bank</w:t>
            </w:r>
          </w:p>
        </w:tc>
        <w:tc>
          <w:tcPr>
            <w:tcW w:w="2040" w:type="dxa"/>
            <w:tcBorders>
              <w:bottom w:val="single" w:sz="4" w:space="0" w:color="auto"/>
            </w:tcBorders>
          </w:tcPr>
          <w:p w:rsidR="0010412C" w:rsidRDefault="00A81168">
            <w:pPr>
              <w:bidi w:val="0"/>
              <w:jc w:val="center"/>
              <w:rPr>
                <w:rFonts w:ascii="Arial" w:hAnsi="Arial" w:cs="Arial"/>
                <w:b/>
                <w:bCs/>
                <w:color w:val="000000"/>
                <w:sz w:val="18"/>
                <w:szCs w:val="18"/>
              </w:rPr>
            </w:pPr>
            <w:r>
              <w:rPr>
                <w:rFonts w:ascii="Arial" w:hAnsi="Arial" w:cs="Arial"/>
                <w:b/>
                <w:bCs/>
                <w:color w:val="000000"/>
                <w:sz w:val="18"/>
                <w:szCs w:val="18"/>
              </w:rPr>
              <w:t>Gaza Strip</w:t>
            </w:r>
          </w:p>
        </w:tc>
      </w:tr>
      <w:tr w:rsidR="0010412C">
        <w:tc>
          <w:tcPr>
            <w:tcW w:w="2700" w:type="dxa"/>
            <w:tcBorders>
              <w:bottom w:val="nil"/>
            </w:tcBorders>
            <w:vAlign w:val="center"/>
          </w:tcPr>
          <w:p w:rsidR="0010412C" w:rsidRDefault="00A81168">
            <w:pPr>
              <w:bidi w:val="0"/>
              <w:jc w:val="both"/>
              <w:rPr>
                <w:rFonts w:ascii="Arial" w:hAnsi="Arial" w:cs="Arial"/>
                <w:color w:val="000000"/>
                <w:sz w:val="18"/>
                <w:szCs w:val="18"/>
              </w:rPr>
            </w:pPr>
            <w:r>
              <w:rPr>
                <w:rFonts w:ascii="Arial" w:hAnsi="Arial" w:cs="Arial"/>
                <w:color w:val="000000"/>
                <w:sz w:val="18"/>
                <w:szCs w:val="18"/>
              </w:rPr>
              <w:t>15-19</w:t>
            </w:r>
          </w:p>
        </w:tc>
        <w:tc>
          <w:tcPr>
            <w:tcW w:w="2040" w:type="dxa"/>
            <w:tcBorders>
              <w:bottom w:val="nil"/>
              <w:right w:val="nil"/>
            </w:tcBorders>
          </w:tcPr>
          <w:p w:rsidR="0010412C" w:rsidRDefault="00A81168">
            <w:pPr>
              <w:pStyle w:val="xl27"/>
              <w:pBdr>
                <w:right w:val="none" w:sz="0" w:space="0" w:color="auto"/>
              </w:pBdr>
              <w:spacing w:before="0" w:beforeAutospacing="0" w:after="0" w:afterAutospacing="0"/>
              <w:jc w:val="right"/>
              <w:rPr>
                <w:rFonts w:eastAsia="Times New Roman"/>
                <w:color w:val="000000"/>
              </w:rPr>
            </w:pPr>
            <w:r>
              <w:rPr>
                <w:rFonts w:eastAsia="Times New Roman"/>
                <w:color w:val="000000"/>
              </w:rPr>
              <w:t>38.4</w:t>
            </w:r>
          </w:p>
        </w:tc>
        <w:tc>
          <w:tcPr>
            <w:tcW w:w="2040" w:type="dxa"/>
            <w:tcBorders>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34.8</w:t>
            </w:r>
          </w:p>
        </w:tc>
        <w:tc>
          <w:tcPr>
            <w:tcW w:w="2040" w:type="dxa"/>
            <w:tcBorders>
              <w:left w:val="nil"/>
              <w:bottom w:val="nil"/>
              <w:right w:val="single" w:sz="4" w:space="0" w:color="auto"/>
            </w:tcBorders>
          </w:tcPr>
          <w:p w:rsidR="0010412C" w:rsidRDefault="00A81168">
            <w:pPr>
              <w:bidi w:val="0"/>
              <w:jc w:val="right"/>
              <w:rPr>
                <w:rFonts w:ascii="Arial" w:eastAsia="Arial Unicode MS" w:hAnsi="Arial" w:cs="Arial"/>
                <w:color w:val="000000"/>
                <w:sz w:val="18"/>
                <w:szCs w:val="18"/>
                <w:rtl/>
              </w:rPr>
            </w:pPr>
            <w:r>
              <w:rPr>
                <w:rFonts w:ascii="Arial" w:eastAsia="Arial Unicode MS" w:hAnsi="Arial" w:cs="Arial"/>
                <w:color w:val="000000"/>
                <w:sz w:val="18"/>
                <w:szCs w:val="18"/>
              </w:rPr>
              <w:t>44.1</w:t>
            </w:r>
          </w:p>
        </w:tc>
      </w:tr>
      <w:tr w:rsidR="0010412C">
        <w:tc>
          <w:tcPr>
            <w:tcW w:w="2700" w:type="dxa"/>
            <w:tcBorders>
              <w:top w:val="nil"/>
              <w:bottom w:val="nil"/>
            </w:tcBorders>
            <w:vAlign w:val="center"/>
          </w:tcPr>
          <w:p w:rsidR="0010412C" w:rsidRDefault="00A81168">
            <w:pPr>
              <w:bidi w:val="0"/>
              <w:jc w:val="both"/>
              <w:rPr>
                <w:rFonts w:ascii="Arial" w:hAnsi="Arial" w:cs="Arial"/>
                <w:color w:val="000000"/>
                <w:sz w:val="18"/>
                <w:szCs w:val="18"/>
                <w:rtl/>
              </w:rPr>
            </w:pPr>
            <w:r>
              <w:rPr>
                <w:rFonts w:ascii="Arial" w:hAnsi="Arial" w:cs="Arial"/>
                <w:color w:val="000000"/>
                <w:sz w:val="18"/>
                <w:szCs w:val="18"/>
              </w:rPr>
              <w:t>20-24</w:t>
            </w:r>
          </w:p>
        </w:tc>
        <w:tc>
          <w:tcPr>
            <w:tcW w:w="2040" w:type="dxa"/>
            <w:tcBorders>
              <w:top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194.0</w:t>
            </w:r>
          </w:p>
        </w:tc>
        <w:tc>
          <w:tcPr>
            <w:tcW w:w="2040" w:type="dxa"/>
            <w:tcBorders>
              <w:top w:val="nil"/>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184.6</w:t>
            </w:r>
          </w:p>
        </w:tc>
        <w:tc>
          <w:tcPr>
            <w:tcW w:w="2040" w:type="dxa"/>
            <w:tcBorders>
              <w:top w:val="nil"/>
              <w:left w:val="nil"/>
              <w:bottom w:val="nil"/>
              <w:right w:val="single" w:sz="4" w:space="0" w:color="auto"/>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209.5</w:t>
            </w:r>
          </w:p>
        </w:tc>
      </w:tr>
      <w:tr w:rsidR="0010412C">
        <w:tc>
          <w:tcPr>
            <w:tcW w:w="2700" w:type="dxa"/>
            <w:tcBorders>
              <w:top w:val="nil"/>
              <w:bottom w:val="nil"/>
            </w:tcBorders>
            <w:vAlign w:val="center"/>
          </w:tcPr>
          <w:p w:rsidR="0010412C" w:rsidRDefault="00A81168">
            <w:pPr>
              <w:bidi w:val="0"/>
              <w:jc w:val="both"/>
              <w:rPr>
                <w:rFonts w:ascii="Arial" w:hAnsi="Arial" w:cs="Arial"/>
                <w:color w:val="000000"/>
                <w:sz w:val="18"/>
                <w:szCs w:val="18"/>
                <w:rtl/>
              </w:rPr>
            </w:pPr>
            <w:r>
              <w:rPr>
                <w:rFonts w:ascii="Arial" w:hAnsi="Arial" w:cs="Arial"/>
                <w:color w:val="000000"/>
                <w:sz w:val="18"/>
                <w:szCs w:val="18"/>
              </w:rPr>
              <w:t>25-29</w:t>
            </w:r>
          </w:p>
        </w:tc>
        <w:tc>
          <w:tcPr>
            <w:tcW w:w="2040" w:type="dxa"/>
            <w:tcBorders>
              <w:top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240.4</w:t>
            </w:r>
          </w:p>
        </w:tc>
        <w:tc>
          <w:tcPr>
            <w:tcW w:w="2040" w:type="dxa"/>
            <w:tcBorders>
              <w:top w:val="nil"/>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217.3</w:t>
            </w:r>
          </w:p>
        </w:tc>
        <w:tc>
          <w:tcPr>
            <w:tcW w:w="2040" w:type="dxa"/>
            <w:tcBorders>
              <w:top w:val="nil"/>
              <w:left w:val="nil"/>
              <w:bottom w:val="nil"/>
              <w:right w:val="single" w:sz="4" w:space="0" w:color="auto"/>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278.9</w:t>
            </w:r>
          </w:p>
        </w:tc>
      </w:tr>
      <w:tr w:rsidR="0010412C">
        <w:tc>
          <w:tcPr>
            <w:tcW w:w="2700" w:type="dxa"/>
            <w:tcBorders>
              <w:top w:val="nil"/>
              <w:bottom w:val="nil"/>
            </w:tcBorders>
            <w:vAlign w:val="center"/>
          </w:tcPr>
          <w:p w:rsidR="0010412C" w:rsidRDefault="00A81168">
            <w:pPr>
              <w:bidi w:val="0"/>
              <w:jc w:val="both"/>
              <w:rPr>
                <w:rFonts w:ascii="Arial" w:hAnsi="Arial" w:cs="Arial"/>
                <w:color w:val="000000"/>
                <w:sz w:val="18"/>
                <w:szCs w:val="18"/>
                <w:rtl/>
              </w:rPr>
            </w:pPr>
            <w:r>
              <w:rPr>
                <w:rFonts w:ascii="Arial" w:hAnsi="Arial" w:cs="Arial"/>
                <w:color w:val="000000"/>
                <w:sz w:val="18"/>
                <w:szCs w:val="18"/>
              </w:rPr>
              <w:t>30-34</w:t>
            </w:r>
          </w:p>
        </w:tc>
        <w:tc>
          <w:tcPr>
            <w:tcW w:w="2040" w:type="dxa"/>
            <w:tcBorders>
              <w:top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182.1</w:t>
            </w:r>
          </w:p>
        </w:tc>
        <w:tc>
          <w:tcPr>
            <w:tcW w:w="2040" w:type="dxa"/>
            <w:tcBorders>
              <w:top w:val="nil"/>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163.9</w:t>
            </w:r>
          </w:p>
        </w:tc>
        <w:tc>
          <w:tcPr>
            <w:tcW w:w="2040" w:type="dxa"/>
            <w:tcBorders>
              <w:top w:val="nil"/>
              <w:left w:val="nil"/>
              <w:bottom w:val="nil"/>
              <w:right w:val="single" w:sz="4" w:space="0" w:color="auto"/>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214.0</w:t>
            </w:r>
          </w:p>
        </w:tc>
      </w:tr>
      <w:tr w:rsidR="0010412C">
        <w:tc>
          <w:tcPr>
            <w:tcW w:w="2700" w:type="dxa"/>
            <w:tcBorders>
              <w:top w:val="nil"/>
              <w:bottom w:val="nil"/>
            </w:tcBorders>
            <w:vAlign w:val="center"/>
          </w:tcPr>
          <w:p w:rsidR="0010412C" w:rsidRDefault="00A81168">
            <w:pPr>
              <w:bidi w:val="0"/>
              <w:jc w:val="both"/>
              <w:rPr>
                <w:rFonts w:ascii="Arial" w:hAnsi="Arial" w:cs="Arial"/>
                <w:color w:val="000000"/>
                <w:sz w:val="18"/>
                <w:szCs w:val="18"/>
                <w:rtl/>
              </w:rPr>
            </w:pPr>
            <w:r>
              <w:rPr>
                <w:rFonts w:ascii="Arial" w:hAnsi="Arial" w:cs="Arial"/>
                <w:color w:val="000000"/>
                <w:sz w:val="18"/>
                <w:szCs w:val="18"/>
              </w:rPr>
              <w:t>35-39</w:t>
            </w:r>
          </w:p>
        </w:tc>
        <w:tc>
          <w:tcPr>
            <w:tcW w:w="2040" w:type="dxa"/>
            <w:tcBorders>
              <w:top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132.9</w:t>
            </w:r>
          </w:p>
        </w:tc>
        <w:tc>
          <w:tcPr>
            <w:tcW w:w="2040" w:type="dxa"/>
            <w:tcBorders>
              <w:top w:val="nil"/>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119.1</w:t>
            </w:r>
          </w:p>
        </w:tc>
        <w:tc>
          <w:tcPr>
            <w:tcW w:w="2040" w:type="dxa"/>
            <w:tcBorders>
              <w:top w:val="nil"/>
              <w:left w:val="nil"/>
              <w:bottom w:val="nil"/>
              <w:right w:val="single" w:sz="4" w:space="0" w:color="auto"/>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158.6</w:t>
            </w:r>
          </w:p>
        </w:tc>
      </w:tr>
      <w:tr w:rsidR="0010412C">
        <w:tc>
          <w:tcPr>
            <w:tcW w:w="2700" w:type="dxa"/>
            <w:tcBorders>
              <w:top w:val="nil"/>
              <w:bottom w:val="nil"/>
            </w:tcBorders>
            <w:vAlign w:val="center"/>
          </w:tcPr>
          <w:p w:rsidR="0010412C" w:rsidRDefault="00A81168">
            <w:pPr>
              <w:bidi w:val="0"/>
              <w:jc w:val="both"/>
              <w:rPr>
                <w:rFonts w:ascii="Arial" w:hAnsi="Arial" w:cs="Arial"/>
                <w:color w:val="000000"/>
                <w:sz w:val="18"/>
                <w:szCs w:val="18"/>
                <w:rtl/>
              </w:rPr>
            </w:pPr>
            <w:r>
              <w:rPr>
                <w:rFonts w:ascii="Arial" w:hAnsi="Arial" w:cs="Arial"/>
                <w:color w:val="000000"/>
                <w:sz w:val="18"/>
                <w:szCs w:val="18"/>
              </w:rPr>
              <w:t>40-44</w:t>
            </w:r>
          </w:p>
        </w:tc>
        <w:tc>
          <w:tcPr>
            <w:tcW w:w="2040" w:type="dxa"/>
            <w:tcBorders>
              <w:top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39.7</w:t>
            </w:r>
          </w:p>
        </w:tc>
        <w:tc>
          <w:tcPr>
            <w:tcW w:w="2040" w:type="dxa"/>
            <w:tcBorders>
              <w:top w:val="nil"/>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28.7</w:t>
            </w:r>
          </w:p>
        </w:tc>
        <w:tc>
          <w:tcPr>
            <w:tcW w:w="2040" w:type="dxa"/>
            <w:tcBorders>
              <w:top w:val="nil"/>
              <w:left w:val="nil"/>
              <w:bottom w:val="nil"/>
              <w:right w:val="single" w:sz="4" w:space="0" w:color="auto"/>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58.0</w:t>
            </w:r>
          </w:p>
        </w:tc>
      </w:tr>
      <w:tr w:rsidR="0010412C">
        <w:tc>
          <w:tcPr>
            <w:tcW w:w="2700" w:type="dxa"/>
            <w:tcBorders>
              <w:top w:val="nil"/>
              <w:bottom w:val="nil"/>
            </w:tcBorders>
            <w:vAlign w:val="center"/>
          </w:tcPr>
          <w:p w:rsidR="0010412C" w:rsidRDefault="00A81168">
            <w:pPr>
              <w:bidi w:val="0"/>
              <w:jc w:val="both"/>
              <w:rPr>
                <w:rFonts w:ascii="Arial" w:hAnsi="Arial" w:cs="Arial"/>
                <w:color w:val="000000"/>
                <w:sz w:val="18"/>
                <w:szCs w:val="18"/>
                <w:rtl/>
              </w:rPr>
            </w:pPr>
            <w:r>
              <w:rPr>
                <w:rFonts w:ascii="Arial" w:hAnsi="Arial" w:cs="Arial"/>
                <w:color w:val="000000"/>
                <w:sz w:val="18"/>
                <w:szCs w:val="18"/>
              </w:rPr>
              <w:t>45-49</w:t>
            </w:r>
          </w:p>
        </w:tc>
        <w:tc>
          <w:tcPr>
            <w:tcW w:w="2040" w:type="dxa"/>
            <w:tcBorders>
              <w:top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4.2</w:t>
            </w:r>
          </w:p>
        </w:tc>
        <w:tc>
          <w:tcPr>
            <w:tcW w:w="2040" w:type="dxa"/>
            <w:tcBorders>
              <w:top w:val="nil"/>
              <w:left w:val="nil"/>
              <w:bottom w:val="nil"/>
              <w:right w:val="nil"/>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2.1</w:t>
            </w:r>
          </w:p>
        </w:tc>
        <w:tc>
          <w:tcPr>
            <w:tcW w:w="2040" w:type="dxa"/>
            <w:tcBorders>
              <w:top w:val="nil"/>
              <w:left w:val="nil"/>
              <w:bottom w:val="nil"/>
              <w:right w:val="single" w:sz="4" w:space="0" w:color="auto"/>
            </w:tcBorders>
          </w:tcPr>
          <w:p w:rsidR="0010412C" w:rsidRDefault="00A81168">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8.5</w:t>
            </w:r>
          </w:p>
        </w:tc>
      </w:tr>
      <w:tr w:rsidR="0010412C">
        <w:tc>
          <w:tcPr>
            <w:tcW w:w="2700" w:type="dxa"/>
            <w:tcBorders>
              <w:top w:val="nil"/>
            </w:tcBorders>
          </w:tcPr>
          <w:p w:rsidR="0010412C" w:rsidRDefault="00A81168">
            <w:pPr>
              <w:bidi w:val="0"/>
              <w:jc w:val="both"/>
              <w:rPr>
                <w:rFonts w:ascii="Arial" w:hAnsi="Arial" w:cs="Arial"/>
                <w:b/>
                <w:bCs/>
                <w:color w:val="000000"/>
                <w:sz w:val="18"/>
                <w:szCs w:val="18"/>
              </w:rPr>
            </w:pPr>
            <w:r>
              <w:rPr>
                <w:rFonts w:ascii="Arial" w:hAnsi="Arial" w:cs="Arial"/>
                <w:b/>
                <w:bCs/>
                <w:color w:val="000000"/>
                <w:sz w:val="18"/>
                <w:szCs w:val="18"/>
              </w:rPr>
              <w:t>Total Fertility Rate</w:t>
            </w:r>
          </w:p>
        </w:tc>
        <w:tc>
          <w:tcPr>
            <w:tcW w:w="2040" w:type="dxa"/>
            <w:tcBorders>
              <w:top w:val="nil"/>
              <w:right w:val="nil"/>
            </w:tcBorders>
            <w:vAlign w:val="bottom"/>
          </w:tcPr>
          <w:p w:rsidR="0010412C" w:rsidRDefault="00A81168">
            <w:pPr>
              <w:bidi w:val="0"/>
              <w:jc w:val="right"/>
              <w:rPr>
                <w:rFonts w:ascii="Arial" w:hAnsi="Arial" w:cs="Arial"/>
                <w:b/>
                <w:bCs/>
                <w:color w:val="000000"/>
                <w:sz w:val="18"/>
                <w:szCs w:val="18"/>
                <w:rtl/>
              </w:rPr>
            </w:pPr>
            <w:r>
              <w:rPr>
                <w:rFonts w:ascii="Arial" w:hAnsi="Arial" w:cs="Arial"/>
                <w:b/>
                <w:bCs/>
                <w:color w:val="000000"/>
                <w:sz w:val="18"/>
                <w:szCs w:val="18"/>
              </w:rPr>
              <w:t>4.2</w:t>
            </w:r>
          </w:p>
        </w:tc>
        <w:tc>
          <w:tcPr>
            <w:tcW w:w="2040" w:type="dxa"/>
            <w:tcBorders>
              <w:top w:val="nil"/>
              <w:left w:val="nil"/>
              <w:right w:val="nil"/>
            </w:tcBorders>
            <w:vAlign w:val="bottom"/>
          </w:tcPr>
          <w:p w:rsidR="0010412C" w:rsidRDefault="00A81168">
            <w:pPr>
              <w:pStyle w:val="Heading2"/>
              <w:jc w:val="right"/>
              <w:rPr>
                <w:rFonts w:ascii="Arial" w:hAnsi="Arial" w:cs="Arial"/>
                <w:sz w:val="18"/>
                <w:szCs w:val="18"/>
                <w:rtl/>
              </w:rPr>
            </w:pPr>
            <w:r>
              <w:rPr>
                <w:rFonts w:ascii="Arial" w:hAnsi="Arial" w:cs="Arial"/>
                <w:sz w:val="18"/>
                <w:szCs w:val="18"/>
              </w:rPr>
              <w:t>3.8</w:t>
            </w:r>
          </w:p>
        </w:tc>
        <w:tc>
          <w:tcPr>
            <w:tcW w:w="2040" w:type="dxa"/>
            <w:tcBorders>
              <w:top w:val="nil"/>
              <w:left w:val="nil"/>
              <w:right w:val="single" w:sz="4" w:space="0" w:color="auto"/>
            </w:tcBorders>
          </w:tcPr>
          <w:p w:rsidR="0010412C" w:rsidRDefault="00A81168">
            <w:pPr>
              <w:bidi w:val="0"/>
              <w:jc w:val="right"/>
              <w:rPr>
                <w:rFonts w:ascii="Arial" w:hAnsi="Arial" w:cs="Arial"/>
                <w:b/>
                <w:bCs/>
                <w:color w:val="000000"/>
                <w:sz w:val="18"/>
                <w:szCs w:val="18"/>
                <w:rtl/>
              </w:rPr>
            </w:pPr>
            <w:r>
              <w:rPr>
                <w:rFonts w:ascii="Arial" w:hAnsi="Arial" w:cs="Arial"/>
                <w:b/>
                <w:bCs/>
                <w:color w:val="000000"/>
                <w:sz w:val="18"/>
                <w:szCs w:val="18"/>
              </w:rPr>
              <w:t>4.9</w:t>
            </w:r>
          </w:p>
        </w:tc>
      </w:tr>
    </w:tbl>
    <w:p w:rsidR="008A2CCC" w:rsidRPr="008A2CCC" w:rsidRDefault="008A2CCC" w:rsidP="008A2CCC">
      <w:pPr>
        <w:bidi w:val="0"/>
        <w:rPr>
          <w:b/>
          <w:bCs/>
          <w:sz w:val="18"/>
          <w:szCs w:val="18"/>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sidRPr="008A2CCC">
        <w:rPr>
          <w:b/>
          <w:bCs/>
          <w:sz w:val="18"/>
          <w:szCs w:val="18"/>
        </w:rPr>
        <w:t>Palestine.</w:t>
      </w:r>
    </w:p>
    <w:p w:rsidR="0010412C" w:rsidRDefault="00A81168">
      <w:pPr>
        <w:bidi w:val="0"/>
        <w:jc w:val="lowKashida"/>
        <w:rPr>
          <w:color w:val="000000"/>
          <w:sz w:val="16"/>
          <w:szCs w:val="16"/>
          <w:lang w:eastAsia="en-US"/>
        </w:rPr>
      </w:pPr>
      <w:r>
        <w:rPr>
          <w:color w:val="000000"/>
        </w:rPr>
        <w:br/>
      </w:r>
    </w:p>
    <w:p w:rsidR="0010412C" w:rsidRDefault="00503F54">
      <w:pPr>
        <w:bidi w:val="0"/>
        <w:jc w:val="lowKashida"/>
        <w:rPr>
          <w:b/>
          <w:bCs/>
        </w:rPr>
      </w:pPr>
      <w:r w:rsidRPr="00503F54">
        <w:rPr>
          <w:noProof/>
          <w:sz w:val="20"/>
          <w:lang w:val="ar-SA"/>
        </w:rPr>
        <w:pict>
          <v:shapetype id="_x0000_t202" coordsize="21600,21600" o:spt="202" path="m,l,21600r21600,l21600,xe">
            <v:stroke joinstyle="miter"/>
            <v:path gradientshapeok="t" o:connecttype="rect"/>
          </v:shapetype>
          <v:shape id="_x0000_s1050" type="#_x0000_t202" style="position:absolute;left:0;text-align:left;margin-left:0;margin-top:27.6pt;width:468pt;height:123.2pt;z-index:251659264">
            <v:textbox style="mso-next-textbox:#_x0000_s1050">
              <w:txbxContent>
                <w:p w:rsidR="0010412C" w:rsidRDefault="00A81168">
                  <w:pPr>
                    <w:jc w:val="both"/>
                    <w:rPr>
                      <w:i/>
                      <w:iCs/>
                      <w:sz w:val="22"/>
                      <w:szCs w:val="22"/>
                    </w:rPr>
                  </w:pPr>
                  <w:r>
                    <w:rPr>
                      <w:b/>
                      <w:bCs/>
                      <w:i/>
                      <w:iCs/>
                    </w:rPr>
                    <w:t>State Parties shall take appropriate measures to ensure that a child who is seeking refugee status or who is considered a refugee in accordance with applicable international or domestic law and procedures shall, whether unaccompanied or a companied by his or her parents or by any other person, receive appropriate protection and humanitarian assistance in the enjoyment of applicable rights set forth in the present Convention and in other international human rights or humanitarian instruments to which the said States are Parties</w:t>
                  </w:r>
                  <w:r>
                    <w:t xml:space="preserve">.        </w:t>
                  </w:r>
                  <w:r>
                    <w:rPr>
                      <w:i/>
                      <w:iCs/>
                      <w:sz w:val="22"/>
                      <w:szCs w:val="22"/>
                    </w:rPr>
                    <w:t xml:space="preserve">                                                                                             </w:t>
                  </w:r>
                </w:p>
                <w:p w:rsidR="0010412C" w:rsidRDefault="00A81168">
                  <w:pPr>
                    <w:jc w:val="both"/>
                    <w:rPr>
                      <w:b/>
                      <w:bCs/>
                      <w:i/>
                      <w:iCs/>
                      <w:sz w:val="22"/>
                      <w:szCs w:val="22"/>
                    </w:rPr>
                  </w:pPr>
                  <w:r>
                    <w:rPr>
                      <w:i/>
                      <w:iCs/>
                      <w:sz w:val="22"/>
                      <w:szCs w:val="22"/>
                    </w:rPr>
                    <w:t xml:space="preserve">                                                                                (Convention on the Rights of the Child, Article 22)</w:t>
                  </w:r>
                </w:p>
                <w:p w:rsidR="0010412C" w:rsidRDefault="0010412C">
                  <w:pPr>
                    <w:jc w:val="both"/>
                    <w:rPr>
                      <w:i/>
                      <w:iCs/>
                      <w:sz w:val="22"/>
                      <w:szCs w:val="22"/>
                    </w:rPr>
                  </w:pPr>
                </w:p>
              </w:txbxContent>
            </v:textbox>
            <w10:wrap type="square"/>
          </v:shape>
        </w:pict>
      </w:r>
      <w:r w:rsidR="00A81168">
        <w:rPr>
          <w:b/>
          <w:bCs/>
        </w:rPr>
        <w:t xml:space="preserve">1.6 </w:t>
      </w:r>
      <w:r w:rsidR="00A81168">
        <w:rPr>
          <w:b/>
          <w:bCs/>
          <w:color w:val="000000"/>
        </w:rPr>
        <w:t>Refugee Children</w:t>
      </w:r>
    </w:p>
    <w:p w:rsidR="0010412C" w:rsidRDefault="0010412C">
      <w:pPr>
        <w:bidi w:val="0"/>
        <w:jc w:val="lowKashida"/>
        <w:rPr>
          <w:b/>
          <w:bCs/>
        </w:rPr>
      </w:pPr>
    </w:p>
    <w:p w:rsidR="0010412C" w:rsidRPr="00504FA0" w:rsidRDefault="00A81168">
      <w:pPr>
        <w:tabs>
          <w:tab w:val="right" w:pos="9000"/>
        </w:tabs>
        <w:bidi w:val="0"/>
        <w:jc w:val="lowKashida"/>
        <w:rPr>
          <w:color w:val="000000"/>
        </w:rPr>
      </w:pPr>
      <w:r w:rsidRPr="00504FA0">
        <w:rPr>
          <w:color w:val="000000"/>
        </w:rPr>
        <w:t xml:space="preserve">Refugee status refers to Palestinians who were forced out of their lands which Israel occupied </w:t>
      </w:r>
    </w:p>
    <w:p w:rsidR="0010412C" w:rsidRDefault="00A81168" w:rsidP="00EA4EC5">
      <w:pPr>
        <w:tabs>
          <w:tab w:val="right" w:pos="9000"/>
        </w:tabs>
        <w:bidi w:val="0"/>
        <w:jc w:val="lowKashida"/>
        <w:rPr>
          <w:color w:val="000000"/>
        </w:rPr>
      </w:pPr>
      <w:r w:rsidRPr="00504FA0">
        <w:rPr>
          <w:color w:val="000000"/>
        </w:rPr>
        <w:t xml:space="preserve">in 1948. The </w:t>
      </w:r>
      <w:r w:rsidR="00504FA0" w:rsidRPr="00504FA0">
        <w:rPr>
          <w:color w:val="000000"/>
        </w:rPr>
        <w:t>2011</w:t>
      </w:r>
      <w:r w:rsidRPr="00504FA0">
        <w:rPr>
          <w:color w:val="000000"/>
        </w:rPr>
        <w:t xml:space="preserve"> data showed that the proportion of refugees in the Palestinian </w:t>
      </w:r>
      <w:r w:rsidRPr="00504FA0">
        <w:t>Territory</w:t>
      </w:r>
      <w:r w:rsidRPr="00504FA0">
        <w:rPr>
          <w:color w:val="000000"/>
        </w:rPr>
        <w:t xml:space="preserve"> was 44.0% of the total population in the Palestinian </w:t>
      </w:r>
      <w:r w:rsidRPr="00504FA0">
        <w:t>Territory</w:t>
      </w:r>
      <w:r w:rsidRPr="00504FA0">
        <w:rPr>
          <w:color w:val="000000"/>
        </w:rPr>
        <w:t xml:space="preserve">. On the other hand, the percentage of refugees in West Bank </w:t>
      </w:r>
      <w:r w:rsidR="00EA4EC5">
        <w:rPr>
          <w:color w:val="000000"/>
        </w:rPr>
        <w:t>was</w:t>
      </w:r>
      <w:r w:rsidRPr="00504FA0">
        <w:rPr>
          <w:color w:val="000000"/>
        </w:rPr>
        <w:t xml:space="preserve"> </w:t>
      </w:r>
      <w:r w:rsidR="00504FA0" w:rsidRPr="00504FA0">
        <w:rPr>
          <w:color w:val="000000"/>
        </w:rPr>
        <w:t>30.0</w:t>
      </w:r>
      <w:r w:rsidRPr="00504FA0">
        <w:rPr>
          <w:color w:val="000000"/>
        </w:rPr>
        <w:t>% of the total population of the West Bank, while in the Gaza Strip, refugees comprise 67.</w:t>
      </w:r>
      <w:r w:rsidR="00504FA0" w:rsidRPr="00504FA0">
        <w:rPr>
          <w:color w:val="000000"/>
        </w:rPr>
        <w:t>0</w:t>
      </w:r>
      <w:r w:rsidRPr="00504FA0">
        <w:rPr>
          <w:color w:val="000000"/>
        </w:rPr>
        <w:t>% of the total residents of Gaza Strip. Refugee children comprise 44.</w:t>
      </w:r>
      <w:r w:rsidR="00504FA0" w:rsidRPr="00504FA0">
        <w:rPr>
          <w:color w:val="000000"/>
        </w:rPr>
        <w:t>0</w:t>
      </w:r>
      <w:r w:rsidRPr="00504FA0">
        <w:rPr>
          <w:color w:val="000000"/>
        </w:rPr>
        <w:t>% of the total children in the occupied Palestinian Territory; distributed to 29.0% in the West Bank and 6</w:t>
      </w:r>
      <w:r w:rsidR="00504FA0" w:rsidRPr="00504FA0">
        <w:rPr>
          <w:color w:val="000000"/>
        </w:rPr>
        <w:t>6</w:t>
      </w:r>
      <w:r w:rsidRPr="00504FA0">
        <w:rPr>
          <w:color w:val="000000"/>
        </w:rPr>
        <w:t>.0% in Gaza Strip. It is worth mentioning  that these ratios and distribution of refugee children conform with the distribution of refugees in general.</w:t>
      </w:r>
      <w:r>
        <w:rPr>
          <w:color w:val="000000"/>
        </w:rPr>
        <w:t xml:space="preserve"> </w:t>
      </w:r>
    </w:p>
    <w:p w:rsidR="0010412C" w:rsidRDefault="0010412C">
      <w:pPr>
        <w:tabs>
          <w:tab w:val="right" w:pos="9000"/>
        </w:tabs>
        <w:bidi w:val="0"/>
        <w:jc w:val="lowKashida"/>
      </w:pPr>
    </w:p>
    <w:p w:rsidR="0010412C" w:rsidRDefault="0010412C">
      <w:pPr>
        <w:bidi w:val="0"/>
        <w:jc w:val="both"/>
        <w:rPr>
          <w:b/>
          <w:bCs/>
          <w:color w:val="000000"/>
        </w:rPr>
      </w:pPr>
    </w:p>
    <w:p w:rsidR="0010412C" w:rsidRDefault="0010412C">
      <w:pPr>
        <w:bidi w:val="0"/>
        <w:jc w:val="both"/>
        <w:rPr>
          <w:b/>
          <w:bCs/>
          <w:color w:val="000000"/>
        </w:rPr>
      </w:pPr>
    </w:p>
    <w:p w:rsidR="0010412C" w:rsidRDefault="0010412C">
      <w:pPr>
        <w:bidi w:val="0"/>
        <w:jc w:val="both"/>
        <w:rPr>
          <w:b/>
          <w:bCs/>
          <w:color w:val="000000"/>
        </w:rPr>
      </w:pPr>
    </w:p>
    <w:p w:rsidR="0010412C" w:rsidRDefault="0010412C">
      <w:pPr>
        <w:bidi w:val="0"/>
        <w:jc w:val="both"/>
        <w:rPr>
          <w:b/>
          <w:bCs/>
          <w:color w:val="000000"/>
        </w:rPr>
      </w:pPr>
    </w:p>
    <w:p w:rsidR="0010412C" w:rsidRDefault="0010412C">
      <w:pPr>
        <w:bidi w:val="0"/>
        <w:jc w:val="both"/>
        <w:rPr>
          <w:b/>
          <w:bCs/>
          <w:color w:val="000000"/>
        </w:rPr>
      </w:pPr>
    </w:p>
    <w:p w:rsidR="0010412C" w:rsidRDefault="00A81168">
      <w:pPr>
        <w:bidi w:val="0"/>
        <w:ind w:right="7655"/>
        <w:jc w:val="lowKashida"/>
        <w:rPr>
          <w:b/>
          <w:bCs/>
          <w:color w:val="000000"/>
        </w:rPr>
      </w:pPr>
      <w:r>
        <w:rPr>
          <w:b/>
          <w:bCs/>
          <w:color w:val="000000"/>
        </w:rPr>
        <w:lastRenderedPageBreak/>
        <w:t xml:space="preserve">References </w:t>
      </w:r>
    </w:p>
    <w:p w:rsidR="0010412C" w:rsidRDefault="0010412C">
      <w:pPr>
        <w:bidi w:val="0"/>
        <w:jc w:val="both"/>
        <w:rPr>
          <w:b/>
          <w:bCs/>
          <w:color w:val="000000"/>
        </w:rPr>
      </w:pPr>
    </w:p>
    <w:p w:rsidR="0010412C" w:rsidRDefault="00A81168">
      <w:pPr>
        <w:bidi w:val="0"/>
        <w:jc w:val="both"/>
        <w:rPr>
          <w:b/>
          <w:bCs/>
          <w:color w:val="000000"/>
        </w:rPr>
      </w:pPr>
      <w:r>
        <w:rPr>
          <w:b/>
          <w:bCs/>
          <w:color w:val="000000"/>
        </w:rPr>
        <w:t xml:space="preserve">  </w:t>
      </w:r>
    </w:p>
    <w:p w:rsidR="00B83C04" w:rsidRPr="00B83C04" w:rsidRDefault="00A81168" w:rsidP="00B83C04">
      <w:pPr>
        <w:bidi w:val="0"/>
        <w:ind w:left="284" w:hanging="284"/>
        <w:jc w:val="both"/>
        <w:rPr>
          <w:b/>
          <w:bCs/>
          <w:color w:val="000000"/>
        </w:rPr>
      </w:pPr>
      <w:r>
        <w:rPr>
          <w:b/>
          <w:bCs/>
          <w:color w:val="000000"/>
        </w:rPr>
        <w:t xml:space="preserve">-  </w:t>
      </w:r>
      <w:r w:rsidR="00B83C04" w:rsidRPr="00B83C04">
        <w:rPr>
          <w:b/>
          <w:bCs/>
          <w:color w:val="000000"/>
        </w:rPr>
        <w:t xml:space="preserve">Palestinian Central Bureau of Statistics, 2011.  </w:t>
      </w:r>
      <w:r w:rsidR="00B83C04" w:rsidRPr="00B83C04">
        <w:rPr>
          <w:color w:val="000000"/>
        </w:rPr>
        <w:t>Palestinian Family Survey 2010,  Main</w:t>
      </w:r>
      <w:r w:rsidR="00B83C04" w:rsidRPr="00B83C04">
        <w:rPr>
          <w:b/>
          <w:bCs/>
          <w:color w:val="000000"/>
        </w:rPr>
        <w:t xml:space="preserve"> </w:t>
      </w:r>
      <w:r w:rsidR="00B83C04">
        <w:rPr>
          <w:b/>
          <w:bCs/>
          <w:color w:val="000000"/>
        </w:rPr>
        <w:t xml:space="preserve">    </w:t>
      </w:r>
      <w:r w:rsidR="00B83C04" w:rsidRPr="00B83C04">
        <w:rPr>
          <w:color w:val="000000"/>
        </w:rPr>
        <w:t>Report</w:t>
      </w:r>
      <w:r w:rsidR="00B83C04" w:rsidRPr="00B83C04">
        <w:rPr>
          <w:b/>
          <w:bCs/>
          <w:color w:val="000000"/>
        </w:rPr>
        <w:t>.   Ramallah</w:t>
      </w:r>
      <w:r w:rsidR="00B83C04" w:rsidRPr="00B83C04">
        <w:rPr>
          <w:rFonts w:hint="cs"/>
          <w:b/>
          <w:bCs/>
          <w:color w:val="000000"/>
          <w:rtl/>
        </w:rPr>
        <w:t xml:space="preserve">- </w:t>
      </w:r>
      <w:r w:rsidR="00B83C04" w:rsidRPr="00B83C04">
        <w:rPr>
          <w:b/>
          <w:bCs/>
          <w:color w:val="000000"/>
        </w:rPr>
        <w:t>Palestine.</w:t>
      </w:r>
    </w:p>
    <w:p w:rsidR="0010412C" w:rsidRDefault="0010412C">
      <w:pPr>
        <w:pBdr>
          <w:bottom w:val="dotted" w:sz="4" w:space="1" w:color="auto"/>
        </w:pBdr>
        <w:bidi w:val="0"/>
        <w:jc w:val="both"/>
        <w:rPr>
          <w:b/>
          <w:bCs/>
          <w:color w:val="000000"/>
        </w:rPr>
      </w:pPr>
    </w:p>
    <w:p w:rsidR="0010412C" w:rsidRDefault="0010412C">
      <w:pPr>
        <w:bidi w:val="0"/>
        <w:jc w:val="both"/>
        <w:rPr>
          <w:b/>
          <w:bCs/>
          <w:color w:val="000000"/>
        </w:rPr>
      </w:pPr>
    </w:p>
    <w:p w:rsidR="0010412C" w:rsidRPr="00D539AA" w:rsidRDefault="00A81168" w:rsidP="000C01FE">
      <w:pPr>
        <w:bidi w:val="0"/>
        <w:ind w:hanging="180"/>
        <w:jc w:val="both"/>
        <w:rPr>
          <w:b/>
          <w:bCs/>
        </w:rPr>
      </w:pPr>
      <w:r w:rsidRPr="000C01FE">
        <w:rPr>
          <w:b/>
          <w:bCs/>
        </w:rPr>
        <w:t xml:space="preserve">- Palestinian Central Bureau of Statistics, </w:t>
      </w:r>
      <w:r w:rsidR="00002318" w:rsidRPr="000C01FE">
        <w:rPr>
          <w:b/>
          <w:bCs/>
        </w:rPr>
        <w:t>2012</w:t>
      </w:r>
      <w:r w:rsidRPr="000C01FE">
        <w:rPr>
          <w:b/>
          <w:bCs/>
        </w:rPr>
        <w:t xml:space="preserve">. </w:t>
      </w:r>
      <w:r w:rsidRPr="000C01FE">
        <w:t xml:space="preserve">Data Base, </w:t>
      </w:r>
      <w:r w:rsidR="000C01FE" w:rsidRPr="000C01FE">
        <w:t>marriages and divorces, 2010.</w:t>
      </w:r>
      <w:r w:rsidRPr="000C01FE">
        <w:t xml:space="preserve"> </w:t>
      </w:r>
      <w:r w:rsidRPr="00D539AA">
        <w:rPr>
          <w:b/>
          <w:bCs/>
        </w:rPr>
        <w:t>Ramallah-Palestine.</w:t>
      </w:r>
    </w:p>
    <w:p w:rsidR="0010412C" w:rsidRPr="00D539AA" w:rsidRDefault="0010412C">
      <w:pPr>
        <w:pBdr>
          <w:bottom w:val="dotted" w:sz="4" w:space="1" w:color="auto"/>
        </w:pBdr>
        <w:bidi w:val="0"/>
        <w:jc w:val="both"/>
        <w:rPr>
          <w:b/>
          <w:bCs/>
          <w:color w:val="000000"/>
        </w:rPr>
      </w:pPr>
    </w:p>
    <w:p w:rsidR="0010412C" w:rsidRDefault="0010412C">
      <w:pPr>
        <w:bidi w:val="0"/>
        <w:jc w:val="both"/>
        <w:rPr>
          <w:b/>
          <w:bCs/>
          <w:color w:val="000000"/>
        </w:rPr>
      </w:pPr>
    </w:p>
    <w:p w:rsidR="0010412C" w:rsidRPr="00002318" w:rsidRDefault="00A81168" w:rsidP="00002318">
      <w:pPr>
        <w:bidi w:val="0"/>
        <w:ind w:hanging="180"/>
        <w:jc w:val="both"/>
        <w:rPr>
          <w:b/>
          <w:bCs/>
          <w:color w:val="000000"/>
        </w:rPr>
      </w:pPr>
      <w:r>
        <w:rPr>
          <w:b/>
          <w:bCs/>
          <w:color w:val="000000"/>
        </w:rPr>
        <w:t>-  Palestinian Central Bureau of Statistics, 20</w:t>
      </w:r>
      <w:r w:rsidR="00B83C04">
        <w:rPr>
          <w:b/>
          <w:bCs/>
          <w:color w:val="000000"/>
        </w:rPr>
        <w:t>12</w:t>
      </w:r>
      <w:r>
        <w:rPr>
          <w:b/>
          <w:bCs/>
          <w:color w:val="000000"/>
        </w:rPr>
        <w:t xml:space="preserve">. </w:t>
      </w:r>
      <w:r>
        <w:rPr>
          <w:color w:val="000000"/>
        </w:rPr>
        <w:t xml:space="preserve">Revised  estimate  based on the final results of  Population, Housing and Establishment Census 2007. </w:t>
      </w:r>
      <w:r w:rsidRPr="00D539AA">
        <w:rPr>
          <w:b/>
          <w:bCs/>
          <w:color w:val="000000"/>
        </w:rPr>
        <w:t>Ramallah-Palestine</w:t>
      </w:r>
      <w:r>
        <w:rPr>
          <w:rFonts w:hint="cs"/>
          <w:b/>
          <w:bCs/>
          <w:color w:val="000000"/>
          <w:rtl/>
        </w:rPr>
        <w:t xml:space="preserve">   . </w:t>
      </w:r>
    </w:p>
    <w:p w:rsidR="0010412C" w:rsidRDefault="0010412C">
      <w:pPr>
        <w:pBdr>
          <w:bottom w:val="dotted" w:sz="4" w:space="1" w:color="auto"/>
        </w:pBdr>
        <w:bidi w:val="0"/>
        <w:jc w:val="both"/>
        <w:rPr>
          <w:color w:val="000000"/>
        </w:rPr>
      </w:pPr>
    </w:p>
    <w:p w:rsidR="00002318" w:rsidRPr="0008221D" w:rsidRDefault="00002318" w:rsidP="00002318">
      <w:pPr>
        <w:pStyle w:val="ListParagraph"/>
        <w:numPr>
          <w:ilvl w:val="0"/>
          <w:numId w:val="2"/>
        </w:numPr>
        <w:tabs>
          <w:tab w:val="clear" w:pos="720"/>
          <w:tab w:val="num" w:pos="284"/>
          <w:tab w:val="right" w:pos="8931"/>
          <w:tab w:val="right" w:pos="9072"/>
        </w:tabs>
        <w:bidi w:val="0"/>
        <w:ind w:left="284" w:right="-2" w:hanging="284"/>
        <w:jc w:val="both"/>
        <w:rPr>
          <w:i/>
          <w:iCs/>
        </w:rPr>
      </w:pPr>
      <w:r w:rsidRPr="0008221D">
        <w:rPr>
          <w:b/>
          <w:bCs/>
        </w:rPr>
        <w:t>Palestinian Central Bureau of Statistics and Ministry of</w:t>
      </w:r>
      <w:r>
        <w:rPr>
          <w:b/>
          <w:bCs/>
        </w:rPr>
        <w:t xml:space="preserve"> </w:t>
      </w:r>
      <w:r w:rsidRPr="0008221D">
        <w:rPr>
          <w:b/>
          <w:bCs/>
        </w:rPr>
        <w:t xml:space="preserve"> Social Affairs, 2011</w:t>
      </w:r>
      <w:r>
        <w:t xml:space="preserve">.  </w:t>
      </w:r>
      <w:r>
        <w:rPr>
          <w:color w:val="000000"/>
        </w:rPr>
        <w:t xml:space="preserve">Data Base, </w:t>
      </w:r>
      <w:r>
        <w:rPr>
          <w:i/>
          <w:iCs/>
        </w:rPr>
        <w:t>d</w:t>
      </w:r>
      <w:r w:rsidRPr="0008221D">
        <w:rPr>
          <w:i/>
          <w:iCs/>
        </w:rPr>
        <w:t xml:space="preserve">isabled Individuals Survey, 2011, Main Findings Report.    </w:t>
      </w:r>
      <w:r w:rsidRPr="00D539AA">
        <w:rPr>
          <w:b/>
          <w:bCs/>
        </w:rPr>
        <w:t>Ramallah</w:t>
      </w:r>
      <w:r w:rsidRPr="00D539AA">
        <w:rPr>
          <w:b/>
          <w:bCs/>
          <w:rtl/>
          <w:lang w:val="en-AU"/>
        </w:rPr>
        <w:t xml:space="preserve"> - </w:t>
      </w:r>
      <w:r w:rsidRPr="00D539AA">
        <w:rPr>
          <w:b/>
          <w:bCs/>
        </w:rPr>
        <w:t>Palestine</w:t>
      </w:r>
      <w:r w:rsidRPr="00D539AA">
        <w:rPr>
          <w:b/>
          <w:bCs/>
          <w:rtl/>
          <w:lang w:val="en-AU"/>
        </w:rPr>
        <w:t>.</w:t>
      </w:r>
    </w:p>
    <w:p w:rsidR="0010412C" w:rsidRDefault="0010412C">
      <w:pPr>
        <w:bidi w:val="0"/>
        <w:jc w:val="both"/>
        <w:rPr>
          <w:color w:val="000000"/>
        </w:rPr>
      </w:pPr>
    </w:p>
    <w:p w:rsidR="0010412C" w:rsidRDefault="0010412C">
      <w:pPr>
        <w:bidi w:val="0"/>
        <w:jc w:val="both"/>
        <w:rPr>
          <w:color w:val="000000"/>
        </w:rPr>
      </w:pPr>
    </w:p>
    <w:p w:rsidR="0010412C" w:rsidRDefault="0010412C">
      <w:pPr>
        <w:bidi w:val="0"/>
        <w:jc w:val="both"/>
        <w:rPr>
          <w:color w:val="000000"/>
        </w:rPr>
      </w:pPr>
    </w:p>
    <w:p w:rsidR="0010412C" w:rsidRDefault="0010412C">
      <w:pPr>
        <w:bidi w:val="0"/>
        <w:jc w:val="both"/>
      </w:pPr>
    </w:p>
    <w:sectPr w:rsidR="0010412C" w:rsidSect="0010412C">
      <w:headerReference w:type="default" r:id="rId12"/>
      <w:footerReference w:type="even" r:id="rId13"/>
      <w:footerReference w:type="default" r:id="rId14"/>
      <w:pgSz w:w="11906" w:h="16838"/>
      <w:pgMar w:top="357" w:right="1418" w:bottom="1418" w:left="1418" w:header="709" w:footer="709"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E77" w:rsidRDefault="00A16E77">
      <w:r>
        <w:separator/>
      </w:r>
    </w:p>
  </w:endnote>
  <w:endnote w:type="continuationSeparator" w:id="0">
    <w:p w:rsidR="00A16E77" w:rsidRDefault="00A16E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2C" w:rsidRDefault="00503F54">
    <w:pPr>
      <w:pStyle w:val="Footer"/>
      <w:framePr w:wrap="around" w:vAnchor="text" w:hAnchor="margin" w:xAlign="center" w:y="1"/>
      <w:rPr>
        <w:rStyle w:val="PageNumber"/>
        <w:rtl/>
      </w:rPr>
    </w:pPr>
    <w:r>
      <w:rPr>
        <w:rStyle w:val="PageNumber"/>
        <w:rtl/>
      </w:rPr>
      <w:fldChar w:fldCharType="begin"/>
    </w:r>
    <w:r w:rsidR="00A81168">
      <w:rPr>
        <w:rStyle w:val="PageNumber"/>
      </w:rPr>
      <w:instrText xml:space="preserve">PAGE  </w:instrText>
    </w:r>
    <w:r>
      <w:rPr>
        <w:rStyle w:val="PageNumber"/>
        <w:rtl/>
      </w:rPr>
      <w:fldChar w:fldCharType="end"/>
    </w:r>
  </w:p>
  <w:p w:rsidR="0010412C" w:rsidRDefault="0010412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2C" w:rsidRDefault="00503F54">
    <w:pPr>
      <w:pStyle w:val="Footer"/>
      <w:framePr w:wrap="around" w:vAnchor="text" w:hAnchor="margin" w:xAlign="center" w:y="1"/>
      <w:rPr>
        <w:rStyle w:val="PageNumber"/>
        <w:rtl/>
      </w:rPr>
    </w:pPr>
    <w:r>
      <w:rPr>
        <w:rStyle w:val="PageNumber"/>
        <w:rtl/>
      </w:rPr>
      <w:fldChar w:fldCharType="begin"/>
    </w:r>
    <w:r w:rsidR="00A81168">
      <w:rPr>
        <w:rStyle w:val="PageNumber"/>
      </w:rPr>
      <w:instrText xml:space="preserve">PAGE  </w:instrText>
    </w:r>
    <w:r>
      <w:rPr>
        <w:rStyle w:val="PageNumber"/>
        <w:rtl/>
      </w:rPr>
      <w:fldChar w:fldCharType="separate"/>
    </w:r>
    <w:r w:rsidR="00DA1A0B">
      <w:rPr>
        <w:rStyle w:val="PageNumber"/>
        <w:noProof/>
        <w:rtl/>
      </w:rPr>
      <w:t>21</w:t>
    </w:r>
    <w:r>
      <w:rPr>
        <w:rStyle w:val="PageNumber"/>
        <w:rtl/>
      </w:rPr>
      <w:fldChar w:fldCharType="end"/>
    </w:r>
  </w:p>
  <w:p w:rsidR="0010412C" w:rsidRDefault="0010412C">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E77" w:rsidRDefault="00A16E77">
      <w:r>
        <w:separator/>
      </w:r>
    </w:p>
  </w:footnote>
  <w:footnote w:type="continuationSeparator" w:id="0">
    <w:p w:rsidR="00A16E77" w:rsidRDefault="00A16E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2C" w:rsidRDefault="00A81168" w:rsidP="00A81168">
    <w:pPr>
      <w:pStyle w:val="Header"/>
    </w:pPr>
    <w:r>
      <w:rPr>
        <w:b/>
        <w:bCs/>
        <w:sz w:val="20"/>
        <w:szCs w:val="20"/>
      </w:rPr>
      <w:t>PALESTINIAN CHILDREN-ISSUES AND STATISTICS. No (15), 2012</w:t>
    </w:r>
  </w:p>
  <w:p w:rsidR="0010412C" w:rsidRDefault="0010412C">
    <w:pPr>
      <w:pStyle w:val="Header"/>
      <w:rPr>
        <w:szCs w:val="20"/>
      </w:rPr>
    </w:pPr>
  </w:p>
  <w:p w:rsidR="0010412C" w:rsidRDefault="00503F54">
    <w:pPr>
      <w:pStyle w:val="Header"/>
      <w:rPr>
        <w:rtl/>
      </w:rPr>
    </w:pPr>
    <w:r w:rsidRPr="00503F54">
      <w:rPr>
        <w:b/>
        <w:bCs/>
        <w:noProof/>
        <w:sz w:val="20"/>
        <w:szCs w:val="20"/>
        <w:rtl/>
      </w:rPr>
      <w:pict>
        <v:line id="_x0000_s2049" style="position:absolute;left:0;text-align:left;z-index:251657728" from="0,-4.45pt" to="459pt,-4.45pt" strokeweight="4.5pt">
          <v:stroke linestyle="thinThick"/>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2420AB"/>
    <w:multiLevelType w:val="hybridMultilevel"/>
    <w:tmpl w:val="E48A06BE"/>
    <w:lvl w:ilvl="0" w:tplc="04010001">
      <w:start w:val="4"/>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7ABD78AB"/>
    <w:multiLevelType w:val="hybridMultilevel"/>
    <w:tmpl w:val="987EA84E"/>
    <w:lvl w:ilvl="0" w:tplc="A8703B9E">
      <w:start w:val="2"/>
      <w:numFmt w:val="bullet"/>
      <w:lvlText w:val="-"/>
      <w:lvlJc w:val="left"/>
      <w:pPr>
        <w:tabs>
          <w:tab w:val="num" w:pos="720"/>
        </w:tabs>
        <w:ind w:left="720" w:right="720" w:hanging="360"/>
      </w:pPr>
      <w:rPr>
        <w:rFonts w:ascii="Arial" w:eastAsia="Times New Roman" w:hAnsi="Arial" w:cs="Aria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noPunctuationKerning/>
  <w:characterSpacingControl w:val="doNotCompress"/>
  <w:hdrShapeDefaults>
    <o:shapedefaults v:ext="edit" spidmax="50178"/>
    <o:shapelayout v:ext="edit">
      <o:idmap v:ext="edit" data="2"/>
    </o:shapelayout>
  </w:hdrShapeDefaults>
  <w:footnotePr>
    <w:footnote w:id="-1"/>
    <w:footnote w:id="0"/>
  </w:footnotePr>
  <w:endnotePr>
    <w:endnote w:id="-1"/>
    <w:endnote w:id="0"/>
  </w:endnotePr>
  <w:compat>
    <w:applyBreakingRules/>
  </w:compat>
  <w:rsids>
    <w:rsidRoot w:val="00A81168"/>
    <w:rsid w:val="00002318"/>
    <w:rsid w:val="00006BB1"/>
    <w:rsid w:val="00011961"/>
    <w:rsid w:val="00043812"/>
    <w:rsid w:val="00062021"/>
    <w:rsid w:val="000732DC"/>
    <w:rsid w:val="000C01FE"/>
    <w:rsid w:val="000F77DB"/>
    <w:rsid w:val="0010412C"/>
    <w:rsid w:val="00194CAE"/>
    <w:rsid w:val="001D37CF"/>
    <w:rsid w:val="001D6A13"/>
    <w:rsid w:val="00232596"/>
    <w:rsid w:val="00294151"/>
    <w:rsid w:val="002A7D72"/>
    <w:rsid w:val="002B20B2"/>
    <w:rsid w:val="00351F51"/>
    <w:rsid w:val="00366B19"/>
    <w:rsid w:val="003A4BB7"/>
    <w:rsid w:val="003F240A"/>
    <w:rsid w:val="00415185"/>
    <w:rsid w:val="004534F5"/>
    <w:rsid w:val="004773BB"/>
    <w:rsid w:val="00503F54"/>
    <w:rsid w:val="005048DB"/>
    <w:rsid w:val="00504FA0"/>
    <w:rsid w:val="00507725"/>
    <w:rsid w:val="0055588F"/>
    <w:rsid w:val="00565B93"/>
    <w:rsid w:val="005A5519"/>
    <w:rsid w:val="00653B55"/>
    <w:rsid w:val="006644D0"/>
    <w:rsid w:val="00694307"/>
    <w:rsid w:val="006A0CFB"/>
    <w:rsid w:val="006C187A"/>
    <w:rsid w:val="006E0CA9"/>
    <w:rsid w:val="006E1EFF"/>
    <w:rsid w:val="00712B93"/>
    <w:rsid w:val="00752011"/>
    <w:rsid w:val="00782311"/>
    <w:rsid w:val="00793352"/>
    <w:rsid w:val="007A0C80"/>
    <w:rsid w:val="007F4639"/>
    <w:rsid w:val="008359E7"/>
    <w:rsid w:val="008366C4"/>
    <w:rsid w:val="00867183"/>
    <w:rsid w:val="008A2CCC"/>
    <w:rsid w:val="008C274D"/>
    <w:rsid w:val="008D57C8"/>
    <w:rsid w:val="008D7276"/>
    <w:rsid w:val="008F21AF"/>
    <w:rsid w:val="00980BDF"/>
    <w:rsid w:val="00982CE7"/>
    <w:rsid w:val="009847B4"/>
    <w:rsid w:val="009B33D0"/>
    <w:rsid w:val="009B596F"/>
    <w:rsid w:val="009C18DC"/>
    <w:rsid w:val="009F3D5A"/>
    <w:rsid w:val="00A16E77"/>
    <w:rsid w:val="00A334CD"/>
    <w:rsid w:val="00A81168"/>
    <w:rsid w:val="00AE7E0D"/>
    <w:rsid w:val="00B52445"/>
    <w:rsid w:val="00B64BA2"/>
    <w:rsid w:val="00B83C04"/>
    <w:rsid w:val="00B95401"/>
    <w:rsid w:val="00BA529A"/>
    <w:rsid w:val="00BD6EC0"/>
    <w:rsid w:val="00BF6634"/>
    <w:rsid w:val="00C35D8B"/>
    <w:rsid w:val="00C83D7D"/>
    <w:rsid w:val="00C86A17"/>
    <w:rsid w:val="00CE0290"/>
    <w:rsid w:val="00D11301"/>
    <w:rsid w:val="00D1589D"/>
    <w:rsid w:val="00D16581"/>
    <w:rsid w:val="00D539AA"/>
    <w:rsid w:val="00D60D2F"/>
    <w:rsid w:val="00D736B4"/>
    <w:rsid w:val="00DA1A0B"/>
    <w:rsid w:val="00DA209B"/>
    <w:rsid w:val="00E4139F"/>
    <w:rsid w:val="00E837D9"/>
    <w:rsid w:val="00E84091"/>
    <w:rsid w:val="00EA4EC5"/>
    <w:rsid w:val="00ED6E92"/>
    <w:rsid w:val="00F116DF"/>
    <w:rsid w:val="00F36D36"/>
    <w:rsid w:val="00F51BAC"/>
    <w:rsid w:val="00FB76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12C"/>
    <w:pPr>
      <w:bidi/>
    </w:pPr>
    <w:rPr>
      <w:sz w:val="24"/>
      <w:szCs w:val="24"/>
      <w:lang w:eastAsia="ar-SA"/>
    </w:rPr>
  </w:style>
  <w:style w:type="paragraph" w:styleId="Heading1">
    <w:name w:val="heading 1"/>
    <w:basedOn w:val="Normal"/>
    <w:next w:val="Normal"/>
    <w:qFormat/>
    <w:rsid w:val="0010412C"/>
    <w:pPr>
      <w:keepNext/>
      <w:jc w:val="center"/>
      <w:outlineLvl w:val="0"/>
    </w:pPr>
    <w:rPr>
      <w:rFonts w:cs="Simplified Arabic"/>
      <w:b/>
      <w:bCs/>
      <w:sz w:val="20"/>
      <w:szCs w:val="28"/>
      <w:lang w:val="pl-PL" w:eastAsia="en-US"/>
    </w:rPr>
  </w:style>
  <w:style w:type="paragraph" w:styleId="Heading2">
    <w:name w:val="heading 2"/>
    <w:basedOn w:val="Normal"/>
    <w:next w:val="Normal"/>
    <w:qFormat/>
    <w:rsid w:val="0010412C"/>
    <w:pPr>
      <w:keepNext/>
      <w:bidi w:val="0"/>
      <w:jc w:val="center"/>
      <w:outlineLvl w:val="1"/>
    </w:pPr>
    <w:rPr>
      <w:b/>
      <w:bCs/>
      <w:color w:val="000000"/>
    </w:rPr>
  </w:style>
  <w:style w:type="paragraph" w:styleId="Heading3">
    <w:name w:val="heading 3"/>
    <w:basedOn w:val="Normal"/>
    <w:next w:val="Normal"/>
    <w:qFormat/>
    <w:rsid w:val="0010412C"/>
    <w:pPr>
      <w:keepNext/>
      <w:ind w:right="360"/>
      <w:jc w:val="both"/>
      <w:outlineLvl w:val="2"/>
    </w:pPr>
    <w:rPr>
      <w:rFonts w:cs="Simplified Arabic"/>
      <w:b/>
      <w:bCs/>
      <w:i/>
      <w:iCs/>
      <w:lang w:val="pl-PL" w:eastAsia="en-US"/>
    </w:rPr>
  </w:style>
  <w:style w:type="paragraph" w:styleId="Heading4">
    <w:name w:val="heading 4"/>
    <w:basedOn w:val="Normal"/>
    <w:next w:val="Normal"/>
    <w:qFormat/>
    <w:rsid w:val="0010412C"/>
    <w:pPr>
      <w:keepNext/>
      <w:bidi w:val="0"/>
      <w:jc w:val="both"/>
      <w:outlineLvl w:val="3"/>
    </w:pPr>
    <w:rPr>
      <w:b/>
      <w:bCs/>
      <w:color w:val="000000"/>
    </w:rPr>
  </w:style>
  <w:style w:type="paragraph" w:styleId="Heading5">
    <w:name w:val="heading 5"/>
    <w:basedOn w:val="Normal"/>
    <w:next w:val="Normal"/>
    <w:qFormat/>
    <w:rsid w:val="0010412C"/>
    <w:pPr>
      <w:keepNext/>
      <w:jc w:val="both"/>
      <w:outlineLvl w:val="4"/>
    </w:pPr>
    <w:rPr>
      <w:rFonts w:cs="Simplified Arabic"/>
      <w:lang w:eastAsia="en-US"/>
    </w:rPr>
  </w:style>
  <w:style w:type="paragraph" w:styleId="Heading6">
    <w:name w:val="heading 6"/>
    <w:basedOn w:val="Normal"/>
    <w:next w:val="Normal"/>
    <w:qFormat/>
    <w:rsid w:val="0010412C"/>
    <w:pPr>
      <w:keepNext/>
      <w:bidi w:val="0"/>
      <w:jc w:val="both"/>
      <w:outlineLvl w:val="5"/>
    </w:pPr>
    <w:rPr>
      <w:b/>
      <w:bCs/>
      <w:color w:val="000000"/>
      <w:sz w:val="22"/>
      <w:szCs w:val="22"/>
    </w:rPr>
  </w:style>
  <w:style w:type="paragraph" w:styleId="Heading7">
    <w:name w:val="heading 7"/>
    <w:basedOn w:val="Normal"/>
    <w:next w:val="Normal"/>
    <w:qFormat/>
    <w:rsid w:val="0010412C"/>
    <w:pPr>
      <w:keepNext/>
      <w:bidi w:val="0"/>
      <w:jc w:val="lowKashida"/>
      <w:outlineLvl w:val="6"/>
    </w:pPr>
    <w:rPr>
      <w:b/>
      <w:bCs/>
      <w:color w:val="000000"/>
    </w:rPr>
  </w:style>
  <w:style w:type="paragraph" w:styleId="Heading8">
    <w:name w:val="heading 8"/>
    <w:basedOn w:val="Normal"/>
    <w:next w:val="Normal"/>
    <w:qFormat/>
    <w:rsid w:val="0010412C"/>
    <w:pPr>
      <w:keepNext/>
      <w:bidi w:val="0"/>
      <w:jc w:val="lowKashida"/>
      <w:outlineLvl w:val="7"/>
    </w:pPr>
    <w:rPr>
      <w:b/>
      <w:bCs/>
      <w:color w:val="FF0000"/>
    </w:rPr>
  </w:style>
  <w:style w:type="paragraph" w:styleId="Heading9">
    <w:name w:val="heading 9"/>
    <w:basedOn w:val="Normal"/>
    <w:next w:val="Normal"/>
    <w:qFormat/>
    <w:rsid w:val="0010412C"/>
    <w:pPr>
      <w:keepNext/>
      <w:bidi w:val="0"/>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0412C"/>
    <w:pPr>
      <w:tabs>
        <w:tab w:val="center" w:pos="4153"/>
        <w:tab w:val="right" w:pos="8306"/>
      </w:tabs>
    </w:pPr>
  </w:style>
  <w:style w:type="paragraph" w:customStyle="1" w:styleId="xl27">
    <w:name w:val="xl27"/>
    <w:basedOn w:val="Normal"/>
    <w:rsid w:val="0010412C"/>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
    <w:name w:val="Body Text"/>
    <w:basedOn w:val="Normal"/>
    <w:semiHidden/>
    <w:rsid w:val="0010412C"/>
    <w:rPr>
      <w:rFonts w:cs="Simplified Arabic"/>
      <w:b/>
      <w:bCs/>
      <w:i/>
      <w:iCs/>
      <w:sz w:val="20"/>
      <w:szCs w:val="20"/>
      <w:lang w:val="pl-PL" w:eastAsia="en-US"/>
    </w:rPr>
  </w:style>
  <w:style w:type="paragraph" w:styleId="BodyText2">
    <w:name w:val="Body Text 2"/>
    <w:basedOn w:val="Normal"/>
    <w:semiHidden/>
    <w:rsid w:val="0010412C"/>
    <w:pPr>
      <w:jc w:val="lowKashida"/>
    </w:pPr>
    <w:rPr>
      <w:rFonts w:cs="Simplified Arabic"/>
      <w:sz w:val="20"/>
      <w:szCs w:val="26"/>
      <w:lang w:val="pl-PL" w:eastAsia="en-US"/>
    </w:rPr>
  </w:style>
  <w:style w:type="paragraph" w:styleId="FootnoteText">
    <w:name w:val="footnote text"/>
    <w:basedOn w:val="Normal"/>
    <w:semiHidden/>
    <w:rsid w:val="0010412C"/>
    <w:rPr>
      <w:rFonts w:cs="Traditional Arabic"/>
      <w:sz w:val="20"/>
      <w:szCs w:val="20"/>
      <w:lang w:eastAsia="en-US"/>
    </w:rPr>
  </w:style>
  <w:style w:type="character" w:styleId="FootnoteReference">
    <w:name w:val="footnote reference"/>
    <w:basedOn w:val="DefaultParagraphFont"/>
    <w:semiHidden/>
    <w:rsid w:val="0010412C"/>
    <w:rPr>
      <w:vertAlign w:val="superscript"/>
    </w:rPr>
  </w:style>
  <w:style w:type="paragraph" w:styleId="BlockText">
    <w:name w:val="Block Text"/>
    <w:basedOn w:val="Normal"/>
    <w:semiHidden/>
    <w:rsid w:val="0010412C"/>
    <w:pPr>
      <w:pBdr>
        <w:top w:val="single" w:sz="4" w:space="1" w:color="auto"/>
        <w:left w:val="single" w:sz="4" w:space="4" w:color="auto"/>
        <w:bottom w:val="single" w:sz="4" w:space="1" w:color="auto"/>
        <w:right w:val="single" w:sz="4" w:space="4" w:color="auto"/>
      </w:pBdr>
      <w:shd w:val="pct10" w:color="auto" w:fill="auto"/>
      <w:ind w:left="565" w:right="567"/>
      <w:jc w:val="lowKashida"/>
    </w:pPr>
    <w:rPr>
      <w:rFonts w:cs="Simplified Arabic"/>
      <w:b/>
      <w:bCs/>
      <w:szCs w:val="20"/>
      <w:lang w:val="pl-PL" w:eastAsia="en-US"/>
    </w:rPr>
  </w:style>
  <w:style w:type="paragraph" w:customStyle="1" w:styleId="xl31">
    <w:name w:val="xl31"/>
    <w:basedOn w:val="Normal"/>
    <w:rsid w:val="0010412C"/>
    <w:pPr>
      <w:pBdr>
        <w:left w:val="single" w:sz="4" w:space="0" w:color="auto"/>
        <w:bottom w:val="single" w:sz="4" w:space="0" w:color="auto"/>
      </w:pBdr>
      <w:bidi w:val="0"/>
      <w:spacing w:before="100" w:beforeAutospacing="1" w:after="100" w:afterAutospacing="1"/>
      <w:jc w:val="center"/>
      <w:textAlignment w:val="top"/>
    </w:pPr>
    <w:rPr>
      <w:rFonts w:ascii="Arial Unicode MS" w:hAnsi="Arial Unicode MS" w:cs="Arial Unicode MS"/>
      <w:sz w:val="18"/>
      <w:szCs w:val="18"/>
    </w:rPr>
  </w:style>
  <w:style w:type="paragraph" w:styleId="Footer">
    <w:name w:val="footer"/>
    <w:basedOn w:val="Normal"/>
    <w:semiHidden/>
    <w:rsid w:val="0010412C"/>
    <w:pPr>
      <w:tabs>
        <w:tab w:val="center" w:pos="4153"/>
        <w:tab w:val="right" w:pos="8306"/>
      </w:tabs>
    </w:pPr>
  </w:style>
  <w:style w:type="paragraph" w:styleId="BodyText3">
    <w:name w:val="Body Text 3"/>
    <w:basedOn w:val="Normal"/>
    <w:semiHidden/>
    <w:rsid w:val="0010412C"/>
    <w:pPr>
      <w:bidi w:val="0"/>
      <w:jc w:val="both"/>
    </w:pPr>
    <w:rPr>
      <w:color w:val="000000"/>
    </w:rPr>
  </w:style>
  <w:style w:type="character" w:styleId="PageNumber">
    <w:name w:val="page number"/>
    <w:basedOn w:val="DefaultParagraphFont"/>
    <w:semiHidden/>
    <w:rsid w:val="0010412C"/>
  </w:style>
  <w:style w:type="character" w:customStyle="1" w:styleId="mediumtext1">
    <w:name w:val="medium_text1"/>
    <w:basedOn w:val="DefaultParagraphFont"/>
    <w:rsid w:val="0010412C"/>
    <w:rPr>
      <w:spacing w:val="360"/>
      <w:sz w:val="24"/>
      <w:szCs w:val="24"/>
    </w:rPr>
  </w:style>
  <w:style w:type="character" w:customStyle="1" w:styleId="shorttext1">
    <w:name w:val="short_text1"/>
    <w:basedOn w:val="DefaultParagraphFont"/>
    <w:rsid w:val="0010412C"/>
    <w:rPr>
      <w:spacing w:val="324"/>
      <w:sz w:val="29"/>
      <w:szCs w:val="29"/>
    </w:rPr>
  </w:style>
  <w:style w:type="character" w:customStyle="1" w:styleId="longtext1">
    <w:name w:val="long_text1"/>
    <w:basedOn w:val="DefaultParagraphFont"/>
    <w:rsid w:val="0010412C"/>
    <w:rPr>
      <w:spacing w:val="408"/>
      <w:sz w:val="20"/>
      <w:szCs w:val="20"/>
    </w:rPr>
  </w:style>
  <w:style w:type="paragraph" w:styleId="BalloonText">
    <w:name w:val="Balloon Text"/>
    <w:basedOn w:val="Normal"/>
    <w:link w:val="BalloonTextChar"/>
    <w:uiPriority w:val="99"/>
    <w:semiHidden/>
    <w:unhideWhenUsed/>
    <w:rsid w:val="00A81168"/>
    <w:rPr>
      <w:rFonts w:ascii="Tahoma" w:hAnsi="Tahoma" w:cs="Tahoma"/>
      <w:sz w:val="16"/>
      <w:szCs w:val="16"/>
    </w:rPr>
  </w:style>
  <w:style w:type="character" w:customStyle="1" w:styleId="BalloonTextChar">
    <w:name w:val="Balloon Text Char"/>
    <w:basedOn w:val="DefaultParagraphFont"/>
    <w:link w:val="BalloonText"/>
    <w:uiPriority w:val="99"/>
    <w:semiHidden/>
    <w:rsid w:val="00A81168"/>
    <w:rPr>
      <w:rFonts w:ascii="Tahoma" w:hAnsi="Tahoma" w:cs="Tahoma"/>
      <w:sz w:val="16"/>
      <w:szCs w:val="16"/>
      <w:lang w:eastAsia="ar-SA"/>
    </w:rPr>
  </w:style>
  <w:style w:type="paragraph" w:styleId="ListParagraph">
    <w:name w:val="List Paragraph"/>
    <w:basedOn w:val="Normal"/>
    <w:uiPriority w:val="34"/>
    <w:qFormat/>
    <w:rsid w:val="0000231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2007_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2007_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615" b="0" i="0" u="none" strike="noStrike" baseline="0">
                <a:solidFill>
                  <a:srgbClr val="000000"/>
                </a:solidFill>
                <a:latin typeface="Arial"/>
                <a:ea typeface="Arial"/>
                <a:cs typeface="Arial"/>
              </a:defRPr>
            </a:pPr>
            <a:r>
              <a:rPr lang="ar-SA"/>
              <a:t>
  </a:t>
            </a:r>
          </a:p>
        </c:rich>
      </c:tx>
      <c:layout>
        <c:manualLayout>
          <c:xMode val="edge"/>
          <c:yMode val="edge"/>
          <c:x val="0.49700598802395546"/>
          <c:y val="1.9083969465648869E-2"/>
        </c:manualLayout>
      </c:layout>
      <c:spPr>
        <a:noFill/>
        <a:ln w="17361">
          <a:noFill/>
        </a:ln>
      </c:spPr>
    </c:title>
    <c:view3D>
      <c:rotX val="0"/>
      <c:hPercent val="131"/>
      <c:rotY val="0"/>
      <c:depthPercent val="171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1227544910179667"/>
          <c:y val="3.053435114503817E-2"/>
          <c:w val="0.82634730538922152"/>
          <c:h val="0.80725190839694649"/>
        </c:manualLayout>
      </c:layout>
      <c:bar3DChart>
        <c:barDir val="bar"/>
        <c:grouping val="stacked"/>
        <c:ser>
          <c:idx val="0"/>
          <c:order val="0"/>
          <c:tx>
            <c:strRef>
              <c:f>Sheet1!$B$6:$B$6</c:f>
              <c:strCache>
                <c:ptCount val="1"/>
                <c:pt idx="0">
                  <c:v>Female</c:v>
                </c:pt>
              </c:strCache>
            </c:strRef>
          </c:tx>
          <c:spPr>
            <a:gradFill rotWithShape="0">
              <a:gsLst>
                <a:gs pos="0">
                  <a:srgbClr val="99CC00"/>
                </a:gs>
                <a:gs pos="100000">
                  <a:srgbClr val="FFFFFF"/>
                </a:gs>
              </a:gsLst>
              <a:lin ang="5400000" scaled="1"/>
            </a:gradFill>
            <a:ln w="8681">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 ;[Red]\-#,##0.0\ </c:formatCode>
                <c:ptCount val="17"/>
                <c:pt idx="0">
                  <c:v>-13.3</c:v>
                </c:pt>
                <c:pt idx="1">
                  <c:v>-13.5</c:v>
                </c:pt>
                <c:pt idx="2">
                  <c:v>-18.899999999999999</c:v>
                </c:pt>
                <c:pt idx="3">
                  <c:v>-24.9</c:v>
                </c:pt>
                <c:pt idx="4">
                  <c:v>-31.5</c:v>
                </c:pt>
                <c:pt idx="5">
                  <c:v>-41.1</c:v>
                </c:pt>
                <c:pt idx="6">
                  <c:v>-58.4</c:v>
                </c:pt>
                <c:pt idx="7">
                  <c:v>-76.5</c:v>
                </c:pt>
                <c:pt idx="8">
                  <c:v>-93.3</c:v>
                </c:pt>
                <c:pt idx="9">
                  <c:v>-111.9</c:v>
                </c:pt>
                <c:pt idx="10">
                  <c:v>-131.1</c:v>
                </c:pt>
                <c:pt idx="11">
                  <c:v>-157.30000000000001</c:v>
                </c:pt>
                <c:pt idx="12">
                  <c:v>-203.7</c:v>
                </c:pt>
                <c:pt idx="13">
                  <c:v>-243.2</c:v>
                </c:pt>
                <c:pt idx="14">
                  <c:v>-260</c:v>
                </c:pt>
                <c:pt idx="15">
                  <c:v>-274</c:v>
                </c:pt>
                <c:pt idx="16">
                  <c:v>-299.5</c:v>
                </c:pt>
              </c:numCache>
            </c:numRef>
          </c:val>
        </c:ser>
        <c:ser>
          <c:idx val="1"/>
          <c:order val="1"/>
          <c:tx>
            <c:strRef>
              <c:f>Sheet1!$C$6:$C$6</c:f>
              <c:strCache>
                <c:ptCount val="1"/>
                <c:pt idx="0">
                  <c:v>Male</c:v>
                </c:pt>
              </c:strCache>
            </c:strRef>
          </c:tx>
          <c:spPr>
            <a:gradFill rotWithShape="0">
              <a:gsLst>
                <a:gs pos="0">
                  <a:srgbClr val="FF0000"/>
                </a:gs>
                <a:gs pos="100000">
                  <a:srgbClr val="FFCC00"/>
                </a:gs>
              </a:gsLst>
              <a:lin ang="5400000" scaled="1"/>
            </a:gradFill>
            <a:ln w="8681">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9.7000000000000011</c:v>
                </c:pt>
                <c:pt idx="1">
                  <c:v>9.3000000000000007</c:v>
                </c:pt>
                <c:pt idx="2">
                  <c:v>13.5</c:v>
                </c:pt>
                <c:pt idx="3">
                  <c:v>19.600000000000001</c:v>
                </c:pt>
                <c:pt idx="4">
                  <c:v>29.2</c:v>
                </c:pt>
                <c:pt idx="5">
                  <c:v>42.2</c:v>
                </c:pt>
                <c:pt idx="6">
                  <c:v>62.7</c:v>
                </c:pt>
                <c:pt idx="7">
                  <c:v>82.7</c:v>
                </c:pt>
                <c:pt idx="8">
                  <c:v>97.3</c:v>
                </c:pt>
                <c:pt idx="9">
                  <c:v>114.6</c:v>
                </c:pt>
                <c:pt idx="10">
                  <c:v>136.19999999999999</c:v>
                </c:pt>
                <c:pt idx="11">
                  <c:v>164.6</c:v>
                </c:pt>
                <c:pt idx="12">
                  <c:v>212.3</c:v>
                </c:pt>
                <c:pt idx="13">
                  <c:v>253.4</c:v>
                </c:pt>
                <c:pt idx="14">
                  <c:v>271.39999999999969</c:v>
                </c:pt>
                <c:pt idx="15">
                  <c:v>286</c:v>
                </c:pt>
                <c:pt idx="16">
                  <c:v>311.89999999999969</c:v>
                </c:pt>
              </c:numCache>
            </c:numRef>
          </c:val>
        </c:ser>
        <c:gapWidth val="0"/>
        <c:gapDepth val="0"/>
        <c:shape val="box"/>
        <c:axId val="77070720"/>
        <c:axId val="77072640"/>
        <c:axId val="0"/>
      </c:bar3DChart>
      <c:catAx>
        <c:axId val="77070720"/>
        <c:scaling>
          <c:orientation val="maxMin"/>
        </c:scaling>
        <c:axPos val="l"/>
        <c:title>
          <c:tx>
            <c:rich>
              <a:bodyPr/>
              <a:lstStyle/>
              <a:p>
                <a:pPr>
                  <a:defRPr sz="800" b="1" i="0" u="none" strike="noStrike" baseline="0">
                    <a:solidFill>
                      <a:srgbClr val="000000"/>
                    </a:solidFill>
                    <a:latin typeface="Arial"/>
                    <a:ea typeface="Arial"/>
                    <a:cs typeface="Arial"/>
                  </a:defRPr>
                </a:pPr>
                <a:r>
                  <a:rPr lang="en-US" sz="800"/>
                  <a:t>Age group   </a:t>
                </a:r>
              </a:p>
            </c:rich>
          </c:tx>
          <c:layout>
            <c:manualLayout>
              <c:xMode val="edge"/>
              <c:yMode val="edge"/>
              <c:x val="3.3177812337998991E-2"/>
              <c:y val="0.34193075180670979"/>
            </c:manualLayout>
          </c:layout>
          <c:spPr>
            <a:noFill/>
            <a:ln w="17361">
              <a:noFill/>
            </a:ln>
          </c:spPr>
        </c:title>
        <c:numFmt formatCode="0.00" sourceLinked="0"/>
        <c:tickLblPos val="low"/>
        <c:spPr>
          <a:ln w="2170">
            <a:solidFill>
              <a:srgbClr val="000000"/>
            </a:solidFill>
            <a:prstDash val="solid"/>
          </a:ln>
        </c:spPr>
        <c:txPr>
          <a:bodyPr rot="0" vert="horz"/>
          <a:lstStyle/>
          <a:p>
            <a:pPr rtl="1">
              <a:defRPr sz="800" b="0" i="0" u="none" strike="noStrike" baseline="0">
                <a:solidFill>
                  <a:srgbClr val="000000"/>
                </a:solidFill>
                <a:latin typeface="Arial"/>
                <a:ea typeface="Arial"/>
                <a:cs typeface="Arial"/>
              </a:defRPr>
            </a:pPr>
            <a:endParaRPr lang="ar-SA"/>
          </a:p>
        </c:txPr>
        <c:crossAx val="77072640"/>
        <c:crossesAt val="350"/>
        <c:lblAlgn val="ctr"/>
        <c:lblOffset val="100"/>
        <c:tickLblSkip val="1"/>
        <c:tickMarkSkip val="1"/>
      </c:catAx>
      <c:valAx>
        <c:axId val="77072640"/>
        <c:scaling>
          <c:orientation val="minMax"/>
          <c:max val="350"/>
          <c:min val="-350"/>
        </c:scaling>
        <c:axPos val="b"/>
        <c:majorGridlines>
          <c:spPr>
            <a:ln w="2170">
              <a:solidFill>
                <a:srgbClr val="FFFFFF"/>
              </a:solidFill>
              <a:prstDash val="solid"/>
            </a:ln>
          </c:spPr>
        </c:majorGridlines>
        <c:title>
          <c:tx>
            <c:rich>
              <a:bodyPr/>
              <a:lstStyle/>
              <a:p>
                <a:pPr>
                  <a:defRPr sz="800" b="1" i="0" u="none" strike="noStrike" baseline="0">
                    <a:solidFill>
                      <a:srgbClr val="000000"/>
                    </a:solidFill>
                    <a:latin typeface="Arial"/>
                    <a:ea typeface="Arial"/>
                    <a:cs typeface="Arial"/>
                  </a:defRPr>
                </a:pPr>
                <a:r>
                  <a:rPr lang="en-US" sz="800"/>
                  <a:t>
Number of Population in thousands</a:t>
                </a:r>
              </a:p>
            </c:rich>
          </c:tx>
          <c:layout>
            <c:manualLayout>
              <c:xMode val="edge"/>
              <c:yMode val="edge"/>
              <c:x val="0.38173652694610777"/>
              <c:y val="0.90076335877862557"/>
            </c:manualLayout>
          </c:layout>
          <c:spPr>
            <a:noFill/>
            <a:ln w="17361">
              <a:noFill/>
            </a:ln>
          </c:spPr>
        </c:title>
        <c:numFmt formatCode="#,##0_-;[Red]#,##0" sourceLinked="0"/>
        <c:tickLblPos val="nextTo"/>
        <c:spPr>
          <a:ln w="2170">
            <a:solidFill>
              <a:srgbClr val="000000"/>
            </a:solidFill>
            <a:prstDash val="solid"/>
          </a:ln>
        </c:spPr>
        <c:txPr>
          <a:bodyPr rot="-5400000" vert="horz"/>
          <a:lstStyle/>
          <a:p>
            <a:pPr>
              <a:defRPr sz="800" b="0" i="0" u="none" strike="noStrike" baseline="0">
                <a:solidFill>
                  <a:srgbClr val="000000"/>
                </a:solidFill>
                <a:latin typeface="Arial"/>
                <a:ea typeface="Arial"/>
                <a:cs typeface="Arial"/>
              </a:defRPr>
            </a:pPr>
            <a:endParaRPr lang="ar-SA"/>
          </a:p>
        </c:txPr>
        <c:crossAx val="77070720"/>
        <c:crosses val="max"/>
        <c:crossBetween val="between"/>
        <c:majorUnit val="50"/>
        <c:minorUnit val="10"/>
      </c:valAx>
      <c:spPr>
        <a:noFill/>
        <a:ln w="2170">
          <a:solidFill>
            <a:srgbClr val="FFFFFF"/>
          </a:solidFill>
          <a:prstDash val="solid"/>
        </a:ln>
      </c:spPr>
    </c:plotArea>
    <c:legend>
      <c:legendPos val="r"/>
      <c:layout>
        <c:manualLayout>
          <c:xMode val="edge"/>
          <c:yMode val="edge"/>
          <c:x val="0.86164215476175898"/>
          <c:y val="4.8422823859347028E-2"/>
          <c:w val="0.10928143712574848"/>
          <c:h val="7.0610687022901783E-2"/>
        </c:manualLayout>
      </c:layout>
      <c:spPr>
        <a:solidFill>
          <a:srgbClr val="FFFFFF"/>
        </a:solidFill>
        <a:ln w="2170">
          <a:solidFill>
            <a:srgbClr val="FFFFFF"/>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2170">
      <a:solidFill>
        <a:srgbClr val="000000"/>
      </a:solidFill>
      <a:prstDash val="solid"/>
    </a:ln>
    <a:effectLst>
      <a:outerShdw blurRad="50800" dist="50800" dir="5400000" algn="ctr" rotWithShape="0">
        <a:schemeClr val="tx1"/>
      </a:outerShdw>
    </a:effectLst>
  </c:spPr>
  <c:txPr>
    <a:bodyPr/>
    <a:lstStyle/>
    <a:p>
      <a:pPr>
        <a:defRPr sz="615" b="0"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64274322169195"/>
          <c:y val="0.17391304347826347"/>
          <c:w val="0.86762360446571762"/>
          <c:h val="0.58695652173912283"/>
        </c:manualLayout>
      </c:layout>
      <c:lineChart>
        <c:grouping val="standard"/>
        <c:ser>
          <c:idx val="1"/>
          <c:order val="0"/>
          <c:tx>
            <c:strRef>
              <c:f>Sheet1!$A$2</c:f>
              <c:strCache>
                <c:ptCount val="1"/>
                <c:pt idx="0">
                  <c:v>GazaStrip</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1.8838304552590248E-2"/>
                  <c:y val="-7.6502732240437174E-2"/>
                </c:manualLayout>
              </c:layout>
              <c:showVal val="1"/>
            </c:dLbl>
            <c:dLbl>
              <c:idx val="1"/>
              <c:layout>
                <c:manualLayout>
                  <c:x val="-2.0931449502878123E-3"/>
                  <c:y val="-4.9180327868852472E-2"/>
                </c:manualLayout>
              </c:layout>
              <c:showVal val="1"/>
            </c:dLbl>
            <c:dLbl>
              <c:idx val="2"/>
              <c:layout>
                <c:manualLayout>
                  <c:x val="0"/>
                  <c:y val="-3.8251366120218601E-2"/>
                </c:manualLayout>
              </c:layout>
              <c:showVal val="1"/>
            </c:dLbl>
            <c:dLbl>
              <c:idx val="3"/>
              <c:layout>
                <c:manualLayout>
                  <c:x val="-4.1862899005756194E-3"/>
                  <c:y val="-6.0109289617486392E-2"/>
                </c:manualLayout>
              </c:layout>
              <c:showVal val="1"/>
            </c:dLbl>
            <c:dLbl>
              <c:idx val="4"/>
              <c:layout>
                <c:manualLayout>
                  <c:x val="-4.1862899005756194E-3"/>
                  <c:y val="-6.5573770491803282E-2"/>
                </c:manualLayout>
              </c:layout>
              <c:showVal val="1"/>
            </c:dLbl>
            <c:dLbl>
              <c:idx val="5"/>
              <c:layout>
                <c:manualLayout>
                  <c:x val="-6.2794348508634313E-3"/>
                  <c:y val="-7.1038251366120214E-2"/>
                </c:manualLayout>
              </c:layout>
              <c:showVal val="1"/>
            </c:dLbl>
            <c:dLbl>
              <c:idx val="6"/>
              <c:layout>
                <c:manualLayout>
                  <c:x val="0"/>
                  <c:y val="-7.6502732240437174E-2"/>
                </c:manualLayout>
              </c:layout>
              <c:showVal val="1"/>
            </c:dLbl>
            <c:dLbl>
              <c:idx val="7"/>
              <c:layout>
                <c:manualLayout>
                  <c:x val="0"/>
                  <c:y val="-8.1967213114754051E-2"/>
                </c:manualLayout>
              </c:layout>
              <c:showVal val="1"/>
            </c:dLbl>
            <c:dLbl>
              <c:idx val="8"/>
              <c:layout>
                <c:manualLayout>
                  <c:x val="4.1862899005756194E-3"/>
                  <c:y val="-7.6502732240437174E-2"/>
                </c:manualLayout>
              </c:layout>
              <c:showVal val="1"/>
            </c:dLbl>
            <c:dLbl>
              <c:idx val="9"/>
              <c:layout>
                <c:manualLayout>
                  <c:x val="0"/>
                  <c:y val="-4.9180327868852472E-2"/>
                </c:manualLayout>
              </c:layout>
              <c:showVal val="1"/>
            </c:dLbl>
            <c:dLbl>
              <c:idx val="10"/>
              <c:layout>
                <c:manualLayout>
                  <c:x val="6.2794348508634313E-3"/>
                  <c:y val="-4.9180327868852472E-2"/>
                </c:manualLayout>
              </c:layout>
              <c:showVal val="1"/>
            </c:dLbl>
            <c:dLbl>
              <c:idx val="11"/>
              <c:layout>
                <c:manualLayout>
                  <c:x val="-6.2794348508634313E-3"/>
                  <c:y val="-6.5573770491803282E-2"/>
                </c:manualLayout>
              </c:layout>
              <c:showVal val="1"/>
            </c:dLbl>
            <c:dLbl>
              <c:idx val="12"/>
              <c:layout>
                <c:manualLayout>
                  <c:x val="0"/>
                  <c:y val="-4.9180327868852472E-2"/>
                </c:manualLayout>
              </c:layout>
              <c:showVal val="1"/>
            </c:dLbl>
            <c:dLbl>
              <c:idx val="13"/>
              <c:layout>
                <c:manualLayout>
                  <c:x val="0"/>
                  <c:y val="-5.4644808743169279E-2"/>
                </c:manualLayout>
              </c:layout>
              <c:showVal val="1"/>
            </c:dLbl>
            <c:txPr>
              <a:bodyPr/>
              <a:lstStyle/>
              <a:p>
                <a:pPr>
                  <a:defRPr sz="900">
                    <a:latin typeface="Arial" pitchFamily="34" charset="0"/>
                    <a:cs typeface="Arial" pitchFamily="34" charset="0"/>
                  </a:defRPr>
                </a:pPr>
                <a:endParaRPr lang="ar-SA"/>
              </a:p>
            </c:txPr>
            <c:showVal val="1"/>
          </c:dLbls>
          <c:cat>
            <c:numRef>
              <c:f>Sheet1!$B$1:$P$1</c:f>
              <c:numCache>
                <c:formatCode>General</c:formatCode>
                <c:ptCount val="15"/>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numCache>
            </c:numRef>
          </c:cat>
          <c:val>
            <c:numRef>
              <c:f>Sheet1!$B$2:$P$2</c:f>
              <c:numCache>
                <c:formatCode>General</c:formatCode>
                <c:ptCount val="15"/>
                <c:pt idx="0">
                  <c:v>3.7</c:v>
                </c:pt>
                <c:pt idx="1">
                  <c:v>3.7</c:v>
                </c:pt>
                <c:pt idx="2">
                  <c:v>3.6</c:v>
                </c:pt>
                <c:pt idx="3">
                  <c:v>3.3</c:v>
                </c:pt>
                <c:pt idx="4">
                  <c:v>3.2</c:v>
                </c:pt>
                <c:pt idx="5">
                  <c:v>3.2</c:v>
                </c:pt>
                <c:pt idx="6">
                  <c:v>3.3</c:v>
                </c:pt>
                <c:pt idx="7">
                  <c:v>3.4</c:v>
                </c:pt>
                <c:pt idx="8">
                  <c:v>3.4</c:v>
                </c:pt>
                <c:pt idx="9">
                  <c:v>3.4</c:v>
                </c:pt>
                <c:pt idx="10">
                  <c:v>3.2</c:v>
                </c:pt>
                <c:pt idx="11">
                  <c:v>3.2</c:v>
                </c:pt>
                <c:pt idx="12">
                  <c:v>3.3</c:v>
                </c:pt>
                <c:pt idx="13">
                  <c:v>3.3</c:v>
                </c:pt>
                <c:pt idx="14">
                  <c:v>3.3</c:v>
                </c:pt>
              </c:numCache>
            </c:numRef>
          </c:val>
        </c:ser>
        <c:ser>
          <c:idx val="3"/>
          <c:order val="1"/>
          <c:tx>
            <c:strRef>
              <c:f>Sheet1!$A$3</c:f>
              <c:strCache>
                <c:ptCount val="1"/>
                <c:pt idx="0">
                  <c:v>West Bank</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5117739403453691E-2"/>
                  <c:y val="-2.1857923497267812E-2"/>
                </c:manualLayout>
              </c:layout>
              <c:showVal val="1"/>
            </c:dLbl>
            <c:dLbl>
              <c:idx val="1"/>
              <c:layout>
                <c:manualLayout>
                  <c:x val="0"/>
                  <c:y val="-2.7322404371584667E-2"/>
                </c:manualLayout>
              </c:layout>
              <c:showVal val="1"/>
            </c:dLbl>
            <c:dLbl>
              <c:idx val="3"/>
              <c:layout>
                <c:manualLayout>
                  <c:x val="-6.2794348508634313E-3"/>
                  <c:y val="-4.9180327868852472E-2"/>
                </c:manualLayout>
              </c:layout>
              <c:showVal val="1"/>
            </c:dLbl>
            <c:dLbl>
              <c:idx val="4"/>
              <c:layout>
                <c:manualLayout>
                  <c:x val="0"/>
                  <c:y val="-4.3715846994535519E-2"/>
                </c:manualLayout>
              </c:layout>
              <c:showVal val="1"/>
            </c:dLbl>
            <c:dLbl>
              <c:idx val="5"/>
              <c:layout>
                <c:manualLayout>
                  <c:x val="0"/>
                  <c:y val="-4.9180327868852472E-2"/>
                </c:manualLayout>
              </c:layout>
              <c:showVal val="1"/>
            </c:dLbl>
            <c:dLbl>
              <c:idx val="6"/>
              <c:layout>
                <c:manualLayout>
                  <c:x val="-2.0931449502878123E-3"/>
                  <c:y val="-4.9180327868852472E-2"/>
                </c:manualLayout>
              </c:layout>
              <c:showVal val="1"/>
            </c:dLbl>
            <c:dLbl>
              <c:idx val="7"/>
              <c:layout>
                <c:manualLayout>
                  <c:x val="-4.1862899005756194E-3"/>
                  <c:y val="-2.7322404371584667E-2"/>
                </c:manualLayout>
              </c:layout>
              <c:showVal val="1"/>
            </c:dLbl>
            <c:dLbl>
              <c:idx val="8"/>
              <c:layout>
                <c:manualLayout>
                  <c:x val="6.2794348508634313E-3"/>
                  <c:y val="6.0109289617486392E-2"/>
                </c:manualLayout>
              </c:layout>
              <c:showVal val="1"/>
            </c:dLbl>
            <c:dLbl>
              <c:idx val="9"/>
              <c:layout>
                <c:manualLayout>
                  <c:x val="4.1862899005756194E-3"/>
                  <c:y val="6.0109289617486392E-2"/>
                </c:manualLayout>
              </c:layout>
              <c:showVal val="1"/>
            </c:dLbl>
            <c:dLbl>
              <c:idx val="10"/>
              <c:layout>
                <c:manualLayout>
                  <c:x val="-1.6745159602302533E-2"/>
                  <c:y val="7.1038251366120214E-2"/>
                </c:manualLayout>
              </c:layout>
              <c:showVal val="1"/>
            </c:dLbl>
            <c:dLbl>
              <c:idx val="11"/>
              <c:layout>
                <c:manualLayout>
                  <c:x val="-1.2558869701726844E-2"/>
                  <c:y val="7.6502732240437174E-2"/>
                </c:manualLayout>
              </c:layout>
              <c:showVal val="1"/>
            </c:dLbl>
            <c:dLbl>
              <c:idx val="12"/>
              <c:layout>
                <c:manualLayout>
                  <c:x val="-2.3024594453165868E-2"/>
                  <c:y val="3.8251366120218601E-2"/>
                </c:manualLayout>
              </c:layout>
              <c:showVal val="1"/>
            </c:dLbl>
            <c:dLbl>
              <c:idx val="13"/>
              <c:layout>
                <c:manualLayout>
                  <c:x val="-2.7210884353741478E-2"/>
                  <c:y val="5.4644808743169279E-2"/>
                </c:manualLayout>
              </c:layout>
              <c:showVal val="1"/>
            </c:dLbl>
            <c:txPr>
              <a:bodyPr/>
              <a:lstStyle/>
              <a:p>
                <a:pPr>
                  <a:defRPr sz="900">
                    <a:latin typeface="Arial" pitchFamily="34" charset="0"/>
                    <a:cs typeface="Arial" pitchFamily="34" charset="0"/>
                  </a:defRPr>
                </a:pPr>
                <a:endParaRPr lang="ar-SA"/>
              </a:p>
            </c:txPr>
            <c:showVal val="1"/>
          </c:dLbls>
          <c:cat>
            <c:numRef>
              <c:f>Sheet1!$B$1:$P$1</c:f>
              <c:numCache>
                <c:formatCode>General</c:formatCode>
                <c:ptCount val="15"/>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numCache>
            </c:numRef>
          </c:cat>
          <c:val>
            <c:numRef>
              <c:f>Sheet1!$B$3:$P$3</c:f>
              <c:numCache>
                <c:formatCode>General</c:formatCode>
                <c:ptCount val="15"/>
                <c:pt idx="0">
                  <c:v>2.9</c:v>
                </c:pt>
                <c:pt idx="1">
                  <c:v>2.9</c:v>
                </c:pt>
                <c:pt idx="2">
                  <c:v>2.8</c:v>
                </c:pt>
                <c:pt idx="3">
                  <c:v>2.5</c:v>
                </c:pt>
                <c:pt idx="4">
                  <c:v>2.5</c:v>
                </c:pt>
                <c:pt idx="5">
                  <c:v>2.5</c:v>
                </c:pt>
                <c:pt idx="6">
                  <c:v>2.5</c:v>
                </c:pt>
                <c:pt idx="7">
                  <c:v>2.7</c:v>
                </c:pt>
                <c:pt idx="8">
                  <c:v>2.7</c:v>
                </c:pt>
                <c:pt idx="9">
                  <c:v>2.7</c:v>
                </c:pt>
                <c:pt idx="10">
                  <c:v>2.7</c:v>
                </c:pt>
                <c:pt idx="11">
                  <c:v>2.7</c:v>
                </c:pt>
                <c:pt idx="12">
                  <c:v>2.7</c:v>
                </c:pt>
                <c:pt idx="13">
                  <c:v>2.7</c:v>
                </c:pt>
                <c:pt idx="14">
                  <c:v>2.6</c:v>
                </c:pt>
              </c:numCache>
            </c:numRef>
          </c:val>
        </c:ser>
        <c:ser>
          <c:idx val="2"/>
          <c:order val="2"/>
          <c:tx>
            <c:strRef>
              <c:f>Sheet1!$A$4</c:f>
              <c:strCache>
                <c:ptCount val="1"/>
                <c:pt idx="0">
                  <c:v>Palestinian Territory</c:v>
                </c:pt>
              </c:strCache>
            </c:strRef>
          </c:tx>
          <c:spPr>
            <a:ln w="25400">
              <a:solidFill>
                <a:srgbClr val="FF8080"/>
              </a:solidFill>
              <a:prstDash val="solid"/>
            </a:ln>
          </c:spPr>
          <c:marker>
            <c:symbol val="triangle"/>
            <c:size val="4"/>
            <c:spPr>
              <a:noFill/>
              <a:ln w="9525">
                <a:noFill/>
              </a:ln>
            </c:spPr>
          </c:marker>
          <c:dLbls>
            <c:dLbl>
              <c:idx val="0"/>
              <c:layout>
                <c:manualLayout>
                  <c:x val="-6.2794348508634114E-3"/>
                  <c:y val="-6.0109289617486392E-2"/>
                </c:manualLayout>
              </c:layout>
              <c:showVal val="1"/>
            </c:dLbl>
            <c:dLbl>
              <c:idx val="1"/>
              <c:layout>
                <c:manualLayout>
                  <c:x val="-4.1862899005756194E-3"/>
                  <c:y val="-2.7322404371584667E-2"/>
                </c:manualLayout>
              </c:layout>
              <c:showVal val="1"/>
            </c:dLbl>
            <c:dLbl>
              <c:idx val="3"/>
              <c:layout>
                <c:manualLayout>
                  <c:x val="0"/>
                  <c:y val="-6.0109289617486392E-2"/>
                </c:manualLayout>
              </c:layout>
              <c:showVal val="1"/>
            </c:dLbl>
            <c:dLbl>
              <c:idx val="4"/>
              <c:layout>
                <c:manualLayout>
                  <c:x val="0"/>
                  <c:y val="-4.9180327868852472E-2"/>
                </c:manualLayout>
              </c:layout>
              <c:showVal val="1"/>
            </c:dLbl>
            <c:dLbl>
              <c:idx val="5"/>
              <c:layout>
                <c:manualLayout>
                  <c:x val="0"/>
                  <c:y val="-5.4644808743169279E-2"/>
                </c:manualLayout>
              </c:layout>
              <c:showVal val="1"/>
            </c:dLbl>
            <c:dLbl>
              <c:idx val="6"/>
              <c:layout>
                <c:manualLayout>
                  <c:x val="0"/>
                  <c:y val="-6.5573770491803282E-2"/>
                </c:manualLayout>
              </c:layout>
              <c:showVal val="1"/>
            </c:dLbl>
            <c:dLbl>
              <c:idx val="7"/>
              <c:layout>
                <c:manualLayout>
                  <c:x val="0"/>
                  <c:y val="-3.8251366120218601E-2"/>
                </c:manualLayout>
              </c:layout>
              <c:showVal val="1"/>
            </c:dLbl>
            <c:dLbl>
              <c:idx val="8"/>
              <c:layout>
                <c:manualLayout>
                  <c:x val="0"/>
                  <c:y val="-5.4644808743169279E-2"/>
                </c:manualLayout>
              </c:layout>
              <c:showVal val="1"/>
            </c:dLbl>
            <c:dLbl>
              <c:idx val="10"/>
              <c:layout>
                <c:manualLayout>
                  <c:x val="0"/>
                  <c:y val="-1.6393442622950821E-2"/>
                </c:manualLayout>
              </c:layout>
              <c:showVal val="1"/>
            </c:dLbl>
            <c:dLbl>
              <c:idx val="11"/>
              <c:layout>
                <c:manualLayout>
                  <c:x val="0"/>
                  <c:y val="-3.2786885245901641E-2"/>
                </c:manualLayout>
              </c:layout>
              <c:showVal val="1"/>
            </c:dLbl>
            <c:dLbl>
              <c:idx val="12"/>
              <c:layout>
                <c:manualLayout>
                  <c:x val="0"/>
                  <c:y val="-4.9180327868852472E-2"/>
                </c:manualLayout>
              </c:layout>
              <c:showVal val="1"/>
            </c:dLbl>
            <c:dLbl>
              <c:idx val="13"/>
              <c:layout>
                <c:manualLayout>
                  <c:x val="0"/>
                  <c:y val="-4.9180327868852472E-2"/>
                </c:manualLayout>
              </c:layout>
              <c:showVal val="1"/>
            </c:dLbl>
            <c:txPr>
              <a:bodyPr/>
              <a:lstStyle/>
              <a:p>
                <a:pPr>
                  <a:defRPr sz="900">
                    <a:latin typeface="Arial" pitchFamily="34" charset="0"/>
                    <a:cs typeface="Arial" pitchFamily="34" charset="0"/>
                  </a:defRPr>
                </a:pPr>
                <a:endParaRPr lang="ar-SA"/>
              </a:p>
            </c:txPr>
            <c:showVal val="1"/>
          </c:dLbls>
          <c:cat>
            <c:numRef>
              <c:f>Sheet1!$B$1:$P$1</c:f>
              <c:numCache>
                <c:formatCode>General</c:formatCode>
                <c:ptCount val="15"/>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numCache>
            </c:numRef>
          </c:cat>
          <c:val>
            <c:numRef>
              <c:f>Sheet1!$B$4:$P$4</c:f>
              <c:numCache>
                <c:formatCode>General</c:formatCode>
                <c:ptCount val="15"/>
                <c:pt idx="0">
                  <c:v>3.2</c:v>
                </c:pt>
                <c:pt idx="1">
                  <c:v>3.2</c:v>
                </c:pt>
                <c:pt idx="2">
                  <c:v>3.1</c:v>
                </c:pt>
                <c:pt idx="3">
                  <c:v>2.8</c:v>
                </c:pt>
                <c:pt idx="4">
                  <c:v>2.8</c:v>
                </c:pt>
                <c:pt idx="5">
                  <c:v>2.8</c:v>
                </c:pt>
                <c:pt idx="6">
                  <c:v>2.8</c:v>
                </c:pt>
                <c:pt idx="7" formatCode="0.0">
                  <c:v>3</c:v>
                </c:pt>
                <c:pt idx="8" formatCode="0.0">
                  <c:v>3</c:v>
                </c:pt>
                <c:pt idx="9" formatCode="0.0">
                  <c:v>3</c:v>
                </c:pt>
                <c:pt idx="10">
                  <c:v>2.9</c:v>
                </c:pt>
                <c:pt idx="11">
                  <c:v>2.9</c:v>
                </c:pt>
                <c:pt idx="12">
                  <c:v>2.9</c:v>
                </c:pt>
                <c:pt idx="13">
                  <c:v>2.9</c:v>
                </c:pt>
                <c:pt idx="14">
                  <c:v>2.9</c:v>
                </c:pt>
              </c:numCache>
            </c:numRef>
          </c:val>
        </c:ser>
        <c:dLbls>
          <c:showVal val="1"/>
        </c:dLbls>
        <c:marker val="1"/>
        <c:axId val="84526208"/>
        <c:axId val="84528128"/>
      </c:lineChart>
      <c:catAx>
        <c:axId val="84526208"/>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1993620414673047"/>
              <c:y val="0.88043478260869568"/>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528128"/>
        <c:crosses val="autoZero"/>
        <c:auto val="1"/>
        <c:lblAlgn val="ctr"/>
        <c:lblOffset val="100"/>
        <c:tickLblSkip val="1"/>
        <c:tickMarkSkip val="1"/>
      </c:catAx>
      <c:valAx>
        <c:axId val="84528128"/>
        <c:scaling>
          <c:orientation val="minMax"/>
          <c:max val="4"/>
          <c:min val="2"/>
        </c:scaling>
        <c:axPos val="l"/>
        <c:title>
          <c:tx>
            <c:rich>
              <a:bodyPr/>
              <a:lstStyle/>
              <a:p>
                <a:pPr>
                  <a:defRPr sz="900" b="1" i="0" u="none" strike="noStrike" baseline="0">
                    <a:solidFill>
                      <a:srgbClr val="000000"/>
                    </a:solidFill>
                    <a:latin typeface="Arial"/>
                    <a:ea typeface="Arial"/>
                    <a:cs typeface="Arial"/>
                  </a:defRPr>
                </a:pPr>
                <a:r>
                  <a:rPr lang="en-US"/>
                  <a:t>Rate natural increase </a:t>
                </a:r>
              </a:p>
            </c:rich>
          </c:tx>
          <c:layout>
            <c:manualLayout>
              <c:xMode val="edge"/>
              <c:yMode val="edge"/>
              <c:x val="7.9744816586921913E-3"/>
              <c:y val="0.10326086956521772"/>
            </c:manualLayout>
          </c:layout>
          <c:spPr>
            <a:noFill/>
            <a:ln w="25400">
              <a:noFill/>
            </a:ln>
          </c:spPr>
        </c:title>
        <c:numFmt formatCode="0.0" sourceLinked="0"/>
        <c:tickLblPos val="nextTo"/>
        <c:spPr>
          <a:ln w="3175">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ar-SA"/>
          </a:p>
        </c:txPr>
        <c:crossAx val="84526208"/>
        <c:crosses val="autoZero"/>
        <c:crossBetween val="between"/>
        <c:majorUnit val="0.2"/>
        <c:minorUnit val="0.1"/>
      </c:valAx>
      <c:spPr>
        <a:solidFill>
          <a:srgbClr val="FFFFFF"/>
        </a:solidFill>
        <a:ln w="12700">
          <a:solidFill>
            <a:srgbClr val="FFFFFF"/>
          </a:solidFill>
          <a:prstDash val="solid"/>
        </a:ln>
      </c:spPr>
    </c:plotArea>
    <c:legend>
      <c:legendPos val="r"/>
      <c:legendEntry>
        <c:idx val="1"/>
        <c:txPr>
          <a:bodyPr/>
          <a:lstStyle/>
          <a:p>
            <a:pPr>
              <a:defRPr sz="735" b="1" i="0" u="none" strike="noStrike" baseline="0">
                <a:solidFill>
                  <a:srgbClr val="000000"/>
                </a:solidFill>
                <a:latin typeface="Arial"/>
                <a:ea typeface="Arial"/>
                <a:cs typeface="Arial"/>
              </a:defRPr>
            </a:pPr>
            <a:endParaRPr lang="ar-SA"/>
          </a:p>
        </c:txPr>
      </c:legendEntry>
      <c:layout>
        <c:manualLayout>
          <c:xMode val="edge"/>
          <c:yMode val="edge"/>
          <c:x val="0.22966507177033493"/>
          <c:y val="8.1521739130434798E-2"/>
          <c:w val="0.60127591706539862"/>
          <c:h val="0.1304347826086957"/>
        </c:manualLayout>
      </c:layout>
      <c:spPr>
        <a:noFill/>
        <a:ln w="25400">
          <a:noFill/>
        </a:ln>
      </c:spPr>
      <c:txPr>
        <a:bodyPr/>
        <a:lstStyle/>
        <a:p>
          <a:pPr>
            <a:defRPr sz="825" b="1"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800" b="0" i="0" u="none" strike="noStrike" baseline="0">
          <a:solidFill>
            <a:srgbClr val="000000"/>
          </a:solidFill>
          <a:latin typeface="Times New Roman"/>
          <a:ea typeface="Times New Roman"/>
          <a:cs typeface="Times New Roman"/>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3715909683475"/>
          <c:y val="0.14704425739885971"/>
          <c:w val="0.84680134680134678"/>
          <c:h val="0.67561589284098711"/>
        </c:manualLayout>
      </c:layout>
      <c:lineChart>
        <c:grouping val="standard"/>
        <c:ser>
          <c:idx val="1"/>
          <c:order val="0"/>
          <c:tx>
            <c:strRef>
              <c:f>Sheet1!$A$2</c:f>
              <c:strCache>
                <c:ptCount val="1"/>
                <c:pt idx="0">
                  <c:v>Gaza Strip</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2.6490066225165611E-2"/>
                  <c:y val="-4.5977011494252866E-2"/>
                </c:manualLayout>
              </c:layout>
              <c:showVal val="1"/>
            </c:dLbl>
            <c:dLbl>
              <c:idx val="1"/>
              <c:layout>
                <c:manualLayout>
                  <c:x val="-1.7660044150110337E-2"/>
                  <c:y val="-5.057471264367816E-2"/>
                </c:manualLayout>
              </c:layout>
              <c:showVal val="1"/>
            </c:dLbl>
            <c:dLbl>
              <c:idx val="2"/>
              <c:layout>
                <c:manualLayout>
                  <c:x val="-6.622516556291376E-3"/>
                  <c:y val="-4.1379310344827586E-2"/>
                </c:manualLayout>
              </c:layout>
              <c:showVal val="1"/>
            </c:dLbl>
            <c:dLbl>
              <c:idx val="3"/>
              <c:layout>
                <c:manualLayout>
                  <c:x val="-1.7660044150110455E-2"/>
                  <c:y val="-5.5172413793103482E-2"/>
                </c:manualLayout>
              </c:layout>
              <c:showVal val="1"/>
            </c:dLbl>
            <c:dLbl>
              <c:idx val="4"/>
              <c:layout>
                <c:manualLayout>
                  <c:x val="-1.5452538631346581E-2"/>
                  <c:y val="-4.1379310344827586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2010</c:v>
                </c:pt>
                <c:pt idx="5">
                  <c:v>2011</c:v>
                </c:pt>
              </c:numCache>
            </c:numRef>
          </c:cat>
          <c:val>
            <c:numRef>
              <c:f>Sheet1!$B$2:$G$2</c:f>
              <c:numCache>
                <c:formatCode>0.0</c:formatCode>
                <c:ptCount val="6"/>
                <c:pt idx="0">
                  <c:v>45.4</c:v>
                </c:pt>
                <c:pt idx="1">
                  <c:v>44.5</c:v>
                </c:pt>
                <c:pt idx="2">
                  <c:v>42.2</c:v>
                </c:pt>
                <c:pt idx="3">
                  <c:v>36.9</c:v>
                </c:pt>
                <c:pt idx="4">
                  <c:v>37.1</c:v>
                </c:pt>
                <c:pt idx="5">
                  <c:v>37.200000000000003</c:v>
                </c:pt>
              </c:numCache>
            </c:numRef>
          </c:val>
        </c:ser>
        <c:ser>
          <c:idx val="3"/>
          <c:order val="1"/>
          <c:tx>
            <c:strRef>
              <c:f>Sheet1!$A$3</c:f>
              <c:strCache>
                <c:ptCount val="1"/>
                <c:pt idx="0">
                  <c:v>West Bank</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8697571743929402E-2"/>
                  <c:y val="5.057471264367816E-2"/>
                </c:manualLayout>
              </c:layout>
              <c:showVal val="1"/>
            </c:dLbl>
            <c:dLbl>
              <c:idx val="1"/>
              <c:layout>
                <c:manualLayout>
                  <c:x val="-2.6490066225165587E-2"/>
                  <c:y val="4.1379310344827586E-2"/>
                </c:manualLayout>
              </c:layout>
              <c:showVal val="1"/>
            </c:dLbl>
            <c:dLbl>
              <c:idx val="2"/>
              <c:layout>
                <c:manualLayout>
                  <c:x val="-2.6490066225165611E-2"/>
                  <c:y val="3.2183908045977094E-2"/>
                </c:manualLayout>
              </c:layout>
              <c:showVal val="1"/>
            </c:dLbl>
            <c:dLbl>
              <c:idx val="3"/>
              <c:layout>
                <c:manualLayout>
                  <c:x val="-1.3245033112582886E-2"/>
                  <c:y val="4.597701149425279E-2"/>
                </c:manualLayout>
              </c:layout>
              <c:showVal val="1"/>
            </c:dLbl>
            <c:dLbl>
              <c:idx val="4"/>
              <c:layout>
                <c:manualLayout>
                  <c:x val="-2.6490066225165611E-2"/>
                  <c:y val="3.6781609195402215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2010</c:v>
                </c:pt>
                <c:pt idx="5">
                  <c:v>2011</c:v>
                </c:pt>
              </c:numCache>
            </c:numRef>
          </c:cat>
          <c:val>
            <c:numRef>
              <c:f>Sheet1!$B$3:$G$3</c:f>
              <c:numCache>
                <c:formatCode>0.0</c:formatCode>
                <c:ptCount val="6"/>
                <c:pt idx="0">
                  <c:v>41.2</c:v>
                </c:pt>
                <c:pt idx="1">
                  <c:v>38.800000000000004</c:v>
                </c:pt>
                <c:pt idx="2">
                  <c:v>34.5</c:v>
                </c:pt>
                <c:pt idx="3">
                  <c:v>30.1</c:v>
                </c:pt>
                <c:pt idx="4">
                  <c:v>30.1</c:v>
                </c:pt>
                <c:pt idx="5">
                  <c:v>30.1</c:v>
                </c:pt>
              </c:numCache>
            </c:numRef>
          </c:val>
        </c:ser>
        <c:ser>
          <c:idx val="2"/>
          <c:order val="2"/>
          <c:tx>
            <c:strRef>
              <c:f>Sheet1!$A$4</c:f>
              <c:strCache>
                <c:ptCount val="1"/>
                <c:pt idx="0">
                  <c:v>Palestinian Terriotry</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3"/>
              <c:layout>
                <c:manualLayout>
                  <c:x val="-8.0940933984763718E-17"/>
                  <c:y val="-4.1379310344827586E-2"/>
                </c:manualLayout>
              </c:layout>
              <c:showVal val="1"/>
            </c:dLbl>
            <c:dLbl>
              <c:idx val="4"/>
              <c:layout>
                <c:manualLayout>
                  <c:x val="-1.3245033112582781E-2"/>
                  <c:y val="-4.1379310344827586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2010</c:v>
                </c:pt>
                <c:pt idx="5">
                  <c:v>2011</c:v>
                </c:pt>
              </c:numCache>
            </c:numRef>
          </c:cat>
          <c:val>
            <c:numRef>
              <c:f>Sheet1!$B$4:$G$4</c:f>
              <c:numCache>
                <c:formatCode>0.0</c:formatCode>
                <c:ptCount val="6"/>
                <c:pt idx="0">
                  <c:v>42.7</c:v>
                </c:pt>
                <c:pt idx="1">
                  <c:v>40.9</c:v>
                </c:pt>
                <c:pt idx="2">
                  <c:v>37.300000000000004</c:v>
                </c:pt>
                <c:pt idx="3">
                  <c:v>32.700000000000003</c:v>
                </c:pt>
                <c:pt idx="4">
                  <c:v>32.800000000000004</c:v>
                </c:pt>
                <c:pt idx="5">
                  <c:v>32.800000000000004</c:v>
                </c:pt>
              </c:numCache>
            </c:numRef>
          </c:val>
        </c:ser>
        <c:dLbls>
          <c:showVal val="1"/>
        </c:dLbls>
        <c:marker val="1"/>
        <c:axId val="84220160"/>
        <c:axId val="84484096"/>
      </c:lineChart>
      <c:catAx>
        <c:axId val="84220160"/>
        <c:scaling>
          <c:orientation val="minMax"/>
        </c:scaling>
        <c:axPos val="b"/>
        <c:title>
          <c:tx>
            <c:rich>
              <a:bodyPr/>
              <a:lstStyle/>
              <a:p>
                <a:pPr>
                  <a:defRPr sz="900" b="1" i="0" u="none" strike="noStrike" baseline="0">
                    <a:solidFill>
                      <a:srgbClr val="000000"/>
                    </a:solidFill>
                    <a:latin typeface="Simplified Arabic"/>
                    <a:ea typeface="Simplified Arabic"/>
                    <a:cs typeface="Simplified Arabic"/>
                  </a:defRPr>
                </a:pPr>
                <a:r>
                  <a:rPr lang="en-US"/>
                  <a:t>Year</a:t>
                </a:r>
              </a:p>
            </c:rich>
          </c:tx>
          <c:layout>
            <c:manualLayout>
              <c:xMode val="edge"/>
              <c:yMode val="edge"/>
              <c:x val="0.52356903234777774"/>
              <c:y val="0.8986453072676260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484096"/>
        <c:crosses val="autoZero"/>
        <c:auto val="1"/>
        <c:lblAlgn val="ctr"/>
        <c:lblOffset val="100"/>
        <c:tickLblSkip val="1"/>
        <c:tickMarkSkip val="1"/>
      </c:catAx>
      <c:valAx>
        <c:axId val="84484096"/>
        <c:scaling>
          <c:orientation val="minMax"/>
          <c:max val="50"/>
          <c:min val="25"/>
        </c:scaling>
        <c:axPos val="l"/>
        <c:title>
          <c:tx>
            <c:rich>
              <a:bodyPr/>
              <a:lstStyle/>
              <a:p>
                <a:pPr>
                  <a:defRPr sz="900" b="1" i="0" u="none" strike="noStrike" baseline="0">
                    <a:solidFill>
                      <a:srgbClr val="000000"/>
                    </a:solidFill>
                    <a:latin typeface="Arial"/>
                    <a:ea typeface="Arial"/>
                    <a:cs typeface="Arial"/>
                  </a:defRPr>
                </a:pPr>
                <a:r>
                  <a:rPr lang="en-US"/>
                  <a:t>Crude birth rates</a:t>
                </a:r>
              </a:p>
            </c:rich>
          </c:tx>
          <c:layout>
            <c:manualLayout>
              <c:xMode val="edge"/>
              <c:yMode val="edge"/>
              <c:x val="2.1885521885522011E-2"/>
              <c:y val="0.17857142857143074"/>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220160"/>
        <c:crosses val="autoZero"/>
        <c:crossBetween val="between"/>
        <c:majorUnit val="2"/>
        <c:minorUnit val="1"/>
      </c:valAx>
      <c:spPr>
        <a:solidFill>
          <a:srgbClr val="FFFFFF"/>
        </a:solidFill>
        <a:ln w="12700">
          <a:solidFill>
            <a:srgbClr val="FFFFFF"/>
          </a:solidFill>
          <a:prstDash val="solid"/>
        </a:ln>
      </c:spPr>
    </c:plotArea>
    <c:legend>
      <c:legendPos val="b"/>
      <c:layout>
        <c:manualLayout>
          <c:xMode val="edge"/>
          <c:yMode val="edge"/>
          <c:x val="0.35796144687212111"/>
          <c:y val="8.5673273599420743E-2"/>
          <c:w val="0.58249158249158262"/>
          <c:h val="7.040238935650292E-2"/>
        </c:manualLayout>
      </c:layout>
      <c:spPr>
        <a:noFill/>
        <a:ln w="25400">
          <a:noFill/>
        </a:ln>
      </c:spPr>
      <c:txPr>
        <a:bodyPr/>
        <a:lstStyle/>
        <a:p>
          <a:pPr>
            <a:defRPr sz="825" b="1"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1025" b="0" i="0" u="none" strike="noStrike" baseline="0">
          <a:solidFill>
            <a:srgbClr val="000000"/>
          </a:solidFill>
          <a:latin typeface="Times New Roman"/>
          <a:ea typeface="Times New Roman"/>
          <a:cs typeface="Times New Roman"/>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62962962962774"/>
          <c:y val="6.4285714285714293E-2"/>
          <c:w val="0.84175084175084181"/>
          <c:h val="0.67561589284098711"/>
        </c:manualLayout>
      </c:layout>
      <c:lineChart>
        <c:grouping val="standard"/>
        <c:ser>
          <c:idx val="1"/>
          <c:order val="0"/>
          <c:tx>
            <c:strRef>
              <c:f>Sheet1!$A$2</c:f>
              <c:strCache>
                <c:ptCount val="1"/>
                <c:pt idx="0">
                  <c:v>Gaza Strip</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3.3112582781456956E-2"/>
                  <c:y val="4.5977011494252915E-2"/>
                </c:manualLayout>
              </c:layout>
              <c:showVal val="1"/>
            </c:dLbl>
            <c:dLbl>
              <c:idx val="1"/>
              <c:layout>
                <c:manualLayout>
                  <c:x val="-2.6490066225165611E-2"/>
                  <c:y val="4.1379310344827586E-2"/>
                </c:manualLayout>
              </c:layout>
              <c:showVal val="1"/>
            </c:dLbl>
            <c:dLbl>
              <c:idx val="2"/>
              <c:layout>
                <c:manualLayout>
                  <c:x val="-3.3112582781456956E-2"/>
                  <c:y val="4.1379310344827586E-2"/>
                </c:manualLayout>
              </c:layout>
              <c:showVal val="1"/>
            </c:dLbl>
            <c:dLbl>
              <c:idx val="3"/>
              <c:layout>
                <c:manualLayout>
                  <c:x val="-1.3245033112582781E-2"/>
                  <c:y val="5.5172413793103482E-2"/>
                </c:manualLayout>
              </c:layout>
              <c:showVal val="1"/>
            </c:dLbl>
            <c:dLbl>
              <c:idx val="4"/>
              <c:layout>
                <c:manualLayout>
                  <c:x val="-2.4282560706401772E-2"/>
                  <c:y val="4.1379310344827586E-2"/>
                </c:manualLayout>
              </c:layout>
              <c:showVal val="1"/>
            </c:dLbl>
            <c:dLbl>
              <c:idx val="5"/>
              <c:layout>
                <c:manualLayout>
                  <c:x val="-3.0905077262693249E-2"/>
                  <c:y val="5.057471264367816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2010</c:v>
                </c:pt>
                <c:pt idx="5">
                  <c:v>2011</c:v>
                </c:pt>
              </c:numCache>
            </c:numRef>
          </c:cat>
          <c:val>
            <c:numRef>
              <c:f>Sheet1!$B$2:$G$2</c:f>
              <c:numCache>
                <c:formatCode>0.0</c:formatCode>
                <c:ptCount val="6"/>
                <c:pt idx="0">
                  <c:v>4.7</c:v>
                </c:pt>
                <c:pt idx="1">
                  <c:v>4.3</c:v>
                </c:pt>
                <c:pt idx="2">
                  <c:v>3.9</c:v>
                </c:pt>
                <c:pt idx="3">
                  <c:v>4.0999999999999996</c:v>
                </c:pt>
                <c:pt idx="4">
                  <c:v>4</c:v>
                </c:pt>
                <c:pt idx="5">
                  <c:v>3.9</c:v>
                </c:pt>
              </c:numCache>
            </c:numRef>
          </c:val>
        </c:ser>
        <c:ser>
          <c:idx val="3"/>
          <c:order val="1"/>
          <c:tx>
            <c:strRef>
              <c:f>Sheet1!$A$3</c:f>
              <c:strCache>
                <c:ptCount val="1"/>
                <c:pt idx="0">
                  <c:v>West Bank</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2075055187638012E-2"/>
                  <c:y val="-5.5172413793103482E-2"/>
                </c:manualLayout>
              </c:layout>
              <c:showVal val="1"/>
            </c:dLbl>
            <c:dLbl>
              <c:idx val="1"/>
              <c:layout>
                <c:manualLayout>
                  <c:x val="-1.3245033112582821E-2"/>
                  <c:y val="-5.5172413793103503E-2"/>
                </c:manualLayout>
              </c:layout>
              <c:showVal val="1"/>
            </c:dLbl>
            <c:dLbl>
              <c:idx val="2"/>
              <c:layout>
                <c:manualLayout>
                  <c:x val="-1.7660044150110375E-2"/>
                  <c:y val="-7.3563218390804638E-2"/>
                </c:manualLayout>
              </c:layout>
              <c:showVal val="1"/>
            </c:dLbl>
            <c:dLbl>
              <c:idx val="3"/>
              <c:layout>
                <c:manualLayout>
                  <c:x val="-1.7660044150110375E-2"/>
                  <c:y val="-5.9770114942528943E-2"/>
                </c:manualLayout>
              </c:layout>
              <c:showVal val="1"/>
            </c:dLbl>
            <c:dLbl>
              <c:idx val="4"/>
              <c:layout>
                <c:manualLayout>
                  <c:x val="-2.6490066225165611E-2"/>
                  <c:y val="-5.5172413793103413E-2"/>
                </c:manualLayout>
              </c:layout>
              <c:showVal val="1"/>
            </c:dLbl>
            <c:dLbl>
              <c:idx val="5"/>
              <c:layout>
                <c:manualLayout>
                  <c:x val="-1.9867549668874232E-2"/>
                  <c:y val="-5.0574712643678202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2010</c:v>
                </c:pt>
                <c:pt idx="5">
                  <c:v>2011</c:v>
                </c:pt>
              </c:numCache>
            </c:numRef>
          </c:cat>
          <c:val>
            <c:numRef>
              <c:f>Sheet1!$B$3:$G$3</c:f>
              <c:numCache>
                <c:formatCode>0.0</c:formatCode>
                <c:ptCount val="6"/>
                <c:pt idx="0">
                  <c:v>5.0999999999999996</c:v>
                </c:pt>
                <c:pt idx="1">
                  <c:v>4.5999999999999996</c:v>
                </c:pt>
                <c:pt idx="2">
                  <c:v>4.0999999999999996</c:v>
                </c:pt>
                <c:pt idx="3">
                  <c:v>4.4000000000000004</c:v>
                </c:pt>
                <c:pt idx="4">
                  <c:v>4.2</c:v>
                </c:pt>
                <c:pt idx="5">
                  <c:v>4.0999999999999996</c:v>
                </c:pt>
              </c:numCache>
            </c:numRef>
          </c:val>
        </c:ser>
        <c:ser>
          <c:idx val="2"/>
          <c:order val="2"/>
          <c:tx>
            <c:strRef>
              <c:f>Sheet1!$A$4</c:f>
              <c:strCache>
                <c:ptCount val="1"/>
                <c:pt idx="0">
                  <c:v>Palestinian Territory</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0"/>
              <c:layout>
                <c:manualLayout>
                  <c:x val="-6.4017660044150326E-2"/>
                  <c:y val="-4.5977011494252873E-3"/>
                </c:manualLayout>
              </c:layout>
              <c:showVal val="1"/>
            </c:dLbl>
            <c:dLbl>
              <c:idx val="1"/>
              <c:layout>
                <c:manualLayout>
                  <c:x val="2.8697571743929402E-2"/>
                  <c:y val="-4.5977011494252873E-3"/>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2010</c:v>
                </c:pt>
                <c:pt idx="5">
                  <c:v>2011</c:v>
                </c:pt>
              </c:numCache>
            </c:numRef>
          </c:cat>
          <c:val>
            <c:numRef>
              <c:f>Sheet1!$B$4:$G$4</c:f>
              <c:numCache>
                <c:formatCode>0.0</c:formatCode>
                <c:ptCount val="6"/>
                <c:pt idx="0">
                  <c:v>4.9000000000000004</c:v>
                </c:pt>
                <c:pt idx="1">
                  <c:v>4.5</c:v>
                </c:pt>
                <c:pt idx="2">
                  <c:v>4</c:v>
                </c:pt>
                <c:pt idx="3">
                  <c:v>4.3</c:v>
                </c:pt>
                <c:pt idx="4">
                  <c:v>4.0999999999999996</c:v>
                </c:pt>
                <c:pt idx="5">
                  <c:v>4</c:v>
                </c:pt>
              </c:numCache>
            </c:numRef>
          </c:val>
        </c:ser>
        <c:dLbls>
          <c:showVal val="1"/>
        </c:dLbls>
        <c:marker val="1"/>
        <c:axId val="77134080"/>
        <c:axId val="84648320"/>
      </c:lineChart>
      <c:catAx>
        <c:axId val="77134080"/>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2356903234777774"/>
              <c:y val="0.88485220381934959"/>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648320"/>
        <c:crossesAt val="2"/>
        <c:auto val="1"/>
        <c:lblAlgn val="ctr"/>
        <c:lblOffset val="100"/>
        <c:tickLblSkip val="1"/>
        <c:tickMarkSkip val="1"/>
      </c:catAx>
      <c:valAx>
        <c:axId val="84648320"/>
        <c:scaling>
          <c:orientation val="minMax"/>
          <c:max val="6.4"/>
          <c:min val="2"/>
        </c:scaling>
        <c:axPos val="l"/>
        <c:title>
          <c:tx>
            <c:rich>
              <a:bodyPr/>
              <a:lstStyle/>
              <a:p>
                <a:pPr>
                  <a:defRPr sz="900" b="1" i="0" u="none" strike="noStrike" baseline="0">
                    <a:solidFill>
                      <a:srgbClr val="000000"/>
                    </a:solidFill>
                    <a:latin typeface="Arial"/>
                    <a:ea typeface="Arial"/>
                    <a:cs typeface="Arial"/>
                  </a:defRPr>
                </a:pPr>
                <a:r>
                  <a:rPr lang="en-US"/>
                  <a:t>crude mortality rates</a:t>
                </a:r>
              </a:p>
            </c:rich>
          </c:tx>
          <c:layout>
            <c:manualLayout>
              <c:xMode val="edge"/>
              <c:yMode val="edge"/>
              <c:x val="2.1885521885522011E-2"/>
              <c:y val="0.13928571428571418"/>
            </c:manualLayout>
          </c:layout>
          <c:spPr>
            <a:noFill/>
            <a:ln w="25400">
              <a:noFill/>
            </a:ln>
          </c:spPr>
        </c:title>
        <c:numFmt formatCode="0.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134080"/>
        <c:crosses val="autoZero"/>
        <c:crossBetween val="between"/>
        <c:majorUnit val="0.4"/>
        <c:minorUnit val="0.4"/>
      </c:valAx>
      <c:spPr>
        <a:solidFill>
          <a:srgbClr val="FFFFFF"/>
        </a:solidFill>
        <a:ln w="12700">
          <a:solidFill>
            <a:srgbClr val="FFFFFF"/>
          </a:solidFill>
          <a:prstDash val="solid"/>
        </a:ln>
      </c:spPr>
    </c:plotArea>
    <c:legend>
      <c:legendPos val="b"/>
      <c:layout>
        <c:manualLayout>
          <c:xMode val="edge"/>
          <c:yMode val="edge"/>
          <c:x val="0.34587596252455455"/>
          <c:y val="9.946637704769723E-2"/>
          <c:w val="0.58249158249158273"/>
          <c:h val="7.5000000000000011E-2"/>
        </c:manualLayout>
      </c:layout>
      <c:spPr>
        <a:noFill/>
        <a:ln w="25400">
          <a:noFill/>
        </a:ln>
      </c:spPr>
      <c:txPr>
        <a:bodyPr/>
        <a:lstStyle/>
        <a:p>
          <a:pPr>
            <a:defRPr sz="825" b="1"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1025" b="0" i="0" u="none" strike="noStrike" baseline="0">
          <a:solidFill>
            <a:srgbClr val="000000"/>
          </a:solidFill>
          <a:latin typeface="Times New Roman"/>
          <a:ea typeface="Times New Roman"/>
          <a:cs typeface="Times New Roman"/>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0.449</cdr:x>
      <cdr:y>0.71675</cdr:y>
    </cdr:from>
    <cdr:to>
      <cdr:x>0.58675</cdr:x>
      <cdr:y>0.74925</cdr:y>
    </cdr:to>
    <cdr:sp macro="" textlink="">
      <cdr:nvSpPr>
        <cdr:cNvPr id="128001" name="Text Box 1"/>
        <cdr:cNvSpPr txBox="1">
          <a:spLocks xmlns:a="http://schemas.openxmlformats.org/drawingml/2006/main" noChangeArrowheads="1"/>
        </cdr:cNvSpPr>
      </cdr:nvSpPr>
      <cdr:spPr bwMode="auto">
        <a:xfrm xmlns:a="http://schemas.openxmlformats.org/drawingml/2006/main">
          <a:off x="2856852" y="3577371"/>
          <a:ext cx="876462" cy="162211"/>
        </a:xfrm>
        <a:prstGeom xmlns:a="http://schemas.openxmlformats.org/drawingml/2006/main" prst="rect">
          <a:avLst/>
        </a:prstGeom>
        <a:noFill xmlns:a="http://schemas.openxmlformats.org/drawingml/2006/main"/>
        <a:ln xmlns:a="http://schemas.openxmlformats.org/drawingml/2006/main" w="9525">
          <a:noFill/>
          <a:miter lim="800000"/>
          <a:headEnd/>
          <a:tailEnd/>
        </a:l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213E0-0074-4EEB-8E8C-9A9AED43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Social characteristics Chapter I </vt:lpstr>
    </vt:vector>
  </TitlesOfParts>
  <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characteristics Chapter I </dc:title>
  <dc:subject/>
  <dc:creator>Administrator</dc:creator>
  <cp:keywords/>
  <dc:description/>
  <cp:lastModifiedBy>faten</cp:lastModifiedBy>
  <cp:revision>33</cp:revision>
  <cp:lastPrinted>2012-03-07T07:48:00Z</cp:lastPrinted>
  <dcterms:created xsi:type="dcterms:W3CDTF">2012-01-25T09:29:00Z</dcterms:created>
  <dcterms:modified xsi:type="dcterms:W3CDTF">2012-04-02T05:32:00Z</dcterms:modified>
</cp:coreProperties>
</file>